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C422" w14:textId="2DCA26F5" w:rsidR="000C61FA" w:rsidRPr="001C3780" w:rsidRDefault="00000000" w:rsidP="001C3780">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color w:val="0000FF"/>
            <w:sz w:val="28"/>
            <w:szCs w:val="28"/>
          </w:rPr>
          <w:id w:val="-701932255"/>
          <w:placeholder>
            <w:docPart w:val="DefaultPlaceholder_-1854013437"/>
          </w:placeholder>
          <w:showingPlcHdr/>
          <w:date>
            <w:dateFormat w:val="M/d/yyyy"/>
            <w:lid w:val="en-US"/>
            <w:storeMappedDataAs w:val="dateTime"/>
            <w:calendar w:val="gregorian"/>
          </w:date>
        </w:sdtPr>
        <w:sdtContent>
          <w:r w:rsidR="00C87B45" w:rsidRPr="001C3780">
            <w:rPr>
              <w:rStyle w:val="PlaceholderText"/>
              <w:rFonts w:ascii="Arial" w:hAnsi="Arial" w:cs="Arial"/>
              <w:color w:val="0000FF"/>
              <w:sz w:val="28"/>
              <w:szCs w:val="28"/>
            </w:rPr>
            <w:t>Click or tap to enter a date.</w:t>
          </w:r>
        </w:sdtContent>
      </w:sdt>
    </w:p>
    <w:p w14:paraId="121615A2" w14:textId="77777777" w:rsidR="000C61FA" w:rsidRPr="001C3780" w:rsidRDefault="000C61FA" w:rsidP="001C3780">
      <w:pPr>
        <w:spacing w:after="0" w:line="240" w:lineRule="auto"/>
        <w:jc w:val="both"/>
        <w:rPr>
          <w:rFonts w:ascii="Arial" w:eastAsia="Calibri" w:hAnsi="Arial" w:cs="Arial"/>
          <w:color w:val="0000FF"/>
          <w:sz w:val="28"/>
          <w:szCs w:val="28"/>
        </w:rPr>
      </w:pPr>
    </w:p>
    <w:p w14:paraId="7448B40D" w14:textId="3C630571" w:rsidR="000C61FA" w:rsidRPr="001C3780" w:rsidRDefault="00000000" w:rsidP="001C3780">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1291869211"/>
          <w:placeholder>
            <w:docPart w:val="DefaultPlaceholder_-1854013440"/>
          </w:placeholder>
          <w:showingPlcHdr/>
        </w:sdtPr>
        <w:sdtContent>
          <w:r w:rsidR="00C87B45" w:rsidRPr="001C3780">
            <w:rPr>
              <w:rStyle w:val="PlaceholderText"/>
              <w:rFonts w:ascii="Arial" w:hAnsi="Arial" w:cs="Arial"/>
              <w:color w:val="0000FF"/>
              <w:sz w:val="28"/>
              <w:szCs w:val="28"/>
            </w:rPr>
            <w:t>Click or tap here to enter text.</w:t>
          </w:r>
        </w:sdtContent>
      </w:sdt>
    </w:p>
    <w:p w14:paraId="24304C83" w14:textId="34C8F029" w:rsidR="000C61FA" w:rsidRPr="001C3780" w:rsidRDefault="00000000" w:rsidP="001C3780">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2086220365"/>
          <w:placeholder>
            <w:docPart w:val="DefaultPlaceholder_-1854013440"/>
          </w:placeholder>
          <w:showingPlcHdr/>
        </w:sdtPr>
        <w:sdtContent>
          <w:r w:rsidR="00C87B45" w:rsidRPr="001C3780">
            <w:rPr>
              <w:rStyle w:val="PlaceholderText"/>
              <w:rFonts w:ascii="Arial" w:hAnsi="Arial" w:cs="Arial"/>
              <w:color w:val="0000FF"/>
              <w:sz w:val="28"/>
              <w:szCs w:val="28"/>
            </w:rPr>
            <w:t>Click or tap here to enter text.</w:t>
          </w:r>
        </w:sdtContent>
      </w:sdt>
    </w:p>
    <w:p w14:paraId="6BF405BE" w14:textId="7E635C6C" w:rsidR="000C61FA" w:rsidRPr="001C3780" w:rsidRDefault="00000000" w:rsidP="001C3780">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1350555842"/>
          <w:placeholder>
            <w:docPart w:val="DefaultPlaceholder_-1854013440"/>
          </w:placeholder>
          <w:showingPlcHdr/>
        </w:sdtPr>
        <w:sdtContent>
          <w:r w:rsidR="00C87B45" w:rsidRPr="001C3780">
            <w:rPr>
              <w:rStyle w:val="PlaceholderText"/>
              <w:rFonts w:ascii="Arial" w:hAnsi="Arial" w:cs="Arial"/>
              <w:color w:val="0000FF"/>
              <w:sz w:val="28"/>
              <w:szCs w:val="28"/>
            </w:rPr>
            <w:t>Click or tap here to enter text.</w:t>
          </w:r>
        </w:sdtContent>
      </w:sdt>
    </w:p>
    <w:p w14:paraId="0B8D4728" w14:textId="77777777" w:rsidR="000C61FA" w:rsidRPr="001C3780" w:rsidRDefault="000C61FA" w:rsidP="001C3780">
      <w:pPr>
        <w:spacing w:after="0"/>
        <w:jc w:val="both"/>
        <w:rPr>
          <w:rFonts w:ascii="Arial" w:hAnsi="Arial" w:cs="Arial"/>
          <w:sz w:val="28"/>
          <w:szCs w:val="28"/>
        </w:rPr>
      </w:pPr>
    </w:p>
    <w:p w14:paraId="45EF8A32" w14:textId="6A126127" w:rsidR="000C61FA" w:rsidRPr="001C3780" w:rsidRDefault="000C61FA" w:rsidP="001C3780">
      <w:pPr>
        <w:jc w:val="both"/>
        <w:rPr>
          <w:rFonts w:ascii="Arial" w:hAnsi="Arial" w:cs="Arial"/>
          <w:sz w:val="28"/>
          <w:szCs w:val="28"/>
        </w:rPr>
      </w:pPr>
      <w:r w:rsidRPr="001C3780">
        <w:rPr>
          <w:rFonts w:ascii="Arial" w:hAnsi="Arial" w:cs="Arial"/>
          <w:sz w:val="28"/>
          <w:szCs w:val="28"/>
        </w:rPr>
        <w:t>Dear</w:t>
      </w:r>
      <w:r w:rsidR="00C87B45" w:rsidRPr="001C3780">
        <w:rPr>
          <w:rFonts w:ascii="Arial" w:hAnsi="Arial" w:cs="Arial"/>
          <w:sz w:val="28"/>
          <w:szCs w:val="28"/>
        </w:rPr>
        <w:t xml:space="preserve"> </w:t>
      </w:r>
      <w:sdt>
        <w:sdtPr>
          <w:rPr>
            <w:rFonts w:ascii="Arial" w:hAnsi="Arial" w:cs="Arial"/>
            <w:sz w:val="28"/>
            <w:szCs w:val="28"/>
          </w:rPr>
          <w:alias w:val="Housing provider contact"/>
          <w:tag w:val="Housing provider contact"/>
          <w:id w:val="-181366211"/>
          <w:placeholder>
            <w:docPart w:val="DefaultPlaceholder_-1854013440"/>
          </w:placeholder>
          <w:showingPlcHdr/>
        </w:sdtPr>
        <w:sdtContent>
          <w:r w:rsidR="00FA56FB" w:rsidRPr="001C3780">
            <w:rPr>
              <w:rStyle w:val="PlaceholderText"/>
              <w:rFonts w:ascii="Arial" w:hAnsi="Arial" w:cs="Arial"/>
              <w:color w:val="0000FF"/>
              <w:sz w:val="28"/>
              <w:szCs w:val="28"/>
            </w:rPr>
            <w:t>Click or tap here to enter text.</w:t>
          </w:r>
        </w:sdtContent>
      </w:sdt>
      <w:r w:rsidRPr="001C3780">
        <w:rPr>
          <w:rFonts w:ascii="Arial" w:hAnsi="Arial" w:cs="Arial"/>
          <w:sz w:val="28"/>
          <w:szCs w:val="28"/>
        </w:rPr>
        <w:t xml:space="preserve"> :</w:t>
      </w:r>
    </w:p>
    <w:p w14:paraId="119570A4" w14:textId="6F43A0F6" w:rsidR="000C61FA" w:rsidRPr="001C3780" w:rsidRDefault="000C61FA" w:rsidP="001C3780">
      <w:pPr>
        <w:jc w:val="both"/>
        <w:rPr>
          <w:rFonts w:ascii="Arial" w:hAnsi="Arial" w:cs="Arial"/>
          <w:sz w:val="28"/>
          <w:szCs w:val="28"/>
        </w:rPr>
      </w:pPr>
      <w:r w:rsidRPr="001C3780">
        <w:rPr>
          <w:rFonts w:ascii="Arial" w:hAnsi="Arial" w:cs="Arial"/>
          <w:sz w:val="28"/>
          <w:szCs w:val="28"/>
        </w:rPr>
        <w:t xml:space="preserve">I write to request a reasonable accommodation under the Fair Housing Act, 42 U.S.C. § 3604(f)(3)(B) and the Arizona Fair Housing Act (collectively, the “FHA”).  </w:t>
      </w:r>
    </w:p>
    <w:p w14:paraId="2D0EFA34" w14:textId="50A33613" w:rsidR="000C61FA" w:rsidRPr="001C3780" w:rsidRDefault="000C61FA" w:rsidP="001C3780">
      <w:pPr>
        <w:jc w:val="both"/>
        <w:rPr>
          <w:rFonts w:ascii="Arial" w:hAnsi="Arial" w:cs="Arial"/>
          <w:sz w:val="28"/>
          <w:szCs w:val="28"/>
        </w:rPr>
      </w:pPr>
      <w:r w:rsidRPr="001C3780">
        <w:rPr>
          <w:rFonts w:ascii="Arial" w:hAnsi="Arial" w:cs="Arial"/>
          <w:sz w:val="28"/>
          <w:szCs w:val="28"/>
        </w:rPr>
        <w:t>I live at the</w:t>
      </w:r>
      <w:r w:rsidR="00C87B45" w:rsidRPr="001C3780">
        <w:rPr>
          <w:rFonts w:ascii="Arial" w:hAnsi="Arial" w:cs="Arial"/>
          <w:sz w:val="28"/>
          <w:szCs w:val="28"/>
        </w:rPr>
        <w:t xml:space="preserve"> </w:t>
      </w:r>
      <w:sdt>
        <w:sdtPr>
          <w:rPr>
            <w:rFonts w:ascii="Arial" w:hAnsi="Arial" w:cs="Arial"/>
            <w:sz w:val="28"/>
            <w:szCs w:val="28"/>
          </w:rPr>
          <w:alias w:val="Name of housing provider or complex"/>
          <w:tag w:val="Name of housing provider or complex"/>
          <w:id w:val="767045439"/>
          <w:placeholder>
            <w:docPart w:val="DefaultPlaceholder_-1854013440"/>
          </w:placeholder>
          <w:showingPlcHdr/>
        </w:sdtPr>
        <w:sdtContent>
          <w:r w:rsidR="00C87B45" w:rsidRPr="001C3780">
            <w:rPr>
              <w:rStyle w:val="PlaceholderText"/>
              <w:rFonts w:ascii="Arial" w:hAnsi="Arial" w:cs="Arial"/>
              <w:color w:val="0000FF"/>
              <w:sz w:val="28"/>
              <w:szCs w:val="28"/>
            </w:rPr>
            <w:t>Click or tap here to enter text.</w:t>
          </w:r>
        </w:sdtContent>
      </w:sdt>
      <w:r w:rsidRPr="001C3780">
        <w:rPr>
          <w:rFonts w:ascii="Arial" w:hAnsi="Arial" w:cs="Arial"/>
          <w:sz w:val="28"/>
          <w:szCs w:val="28"/>
        </w:rPr>
        <w:t xml:space="preserve"> at </w:t>
      </w:r>
      <w:sdt>
        <w:sdtPr>
          <w:rPr>
            <w:rFonts w:ascii="Arial" w:hAnsi="Arial" w:cs="Arial"/>
            <w:color w:val="0000FF"/>
            <w:sz w:val="28"/>
            <w:szCs w:val="28"/>
          </w:rPr>
          <w:alias w:val="Address"/>
          <w:tag w:val="Address"/>
          <w:id w:val="963228511"/>
          <w:placeholder>
            <w:docPart w:val="DefaultPlaceholder_-1854013440"/>
          </w:placeholder>
          <w:showingPlcHdr/>
        </w:sdtPr>
        <w:sdtContent>
          <w:r w:rsidR="00C87B45" w:rsidRPr="001C3780">
            <w:rPr>
              <w:rStyle w:val="PlaceholderText"/>
              <w:rFonts w:ascii="Arial" w:hAnsi="Arial" w:cs="Arial"/>
              <w:color w:val="0000FF"/>
              <w:sz w:val="28"/>
              <w:szCs w:val="28"/>
            </w:rPr>
            <w:t>Click or tap here to enter text.</w:t>
          </w:r>
        </w:sdtContent>
      </w:sdt>
      <w:r w:rsidRPr="001C3780">
        <w:rPr>
          <w:rFonts w:ascii="Arial" w:hAnsi="Arial" w:cs="Arial"/>
          <w:color w:val="0000FF"/>
          <w:sz w:val="28"/>
          <w:szCs w:val="28"/>
        </w:rPr>
        <w:t xml:space="preserve"> </w:t>
      </w:r>
      <w:r w:rsidRPr="001C3780">
        <w:rPr>
          <w:rFonts w:ascii="Arial" w:hAnsi="Arial" w:cs="Arial"/>
          <w:sz w:val="28"/>
          <w:szCs w:val="28"/>
        </w:rPr>
        <w:t xml:space="preserve">in unit # </w:t>
      </w:r>
      <w:sdt>
        <w:sdtPr>
          <w:rPr>
            <w:rFonts w:ascii="Arial" w:hAnsi="Arial" w:cs="Arial"/>
            <w:sz w:val="28"/>
            <w:szCs w:val="28"/>
          </w:rPr>
          <w:alias w:val="Unit number"/>
          <w:tag w:val="Unit number"/>
          <w:id w:val="1978800678"/>
          <w:placeholder>
            <w:docPart w:val="DefaultPlaceholder_-1854013440"/>
          </w:placeholder>
          <w:showingPlcHdr/>
        </w:sdtPr>
        <w:sdtContent>
          <w:r w:rsidR="00C87B45" w:rsidRPr="001C3780">
            <w:rPr>
              <w:rStyle w:val="PlaceholderText"/>
              <w:rFonts w:ascii="Arial" w:hAnsi="Arial" w:cs="Arial"/>
              <w:color w:val="0000FF"/>
              <w:sz w:val="28"/>
              <w:szCs w:val="28"/>
            </w:rPr>
            <w:t>Click or tap here to enter text.</w:t>
          </w:r>
        </w:sdtContent>
      </w:sdt>
      <w:r w:rsidRPr="001C3780">
        <w:rPr>
          <w:rFonts w:ascii="Arial" w:hAnsi="Arial" w:cs="Arial"/>
          <w:sz w:val="28"/>
          <w:szCs w:val="28"/>
        </w:rPr>
        <w:t xml:space="preserve">. </w:t>
      </w:r>
    </w:p>
    <w:p w14:paraId="32A16054" w14:textId="24E242A0" w:rsidR="000C61FA" w:rsidRPr="001C3780" w:rsidRDefault="000C61FA" w:rsidP="001C3780">
      <w:pPr>
        <w:jc w:val="both"/>
        <w:rPr>
          <w:rFonts w:ascii="Arial" w:hAnsi="Arial" w:cs="Arial"/>
          <w:sz w:val="28"/>
          <w:szCs w:val="28"/>
        </w:rPr>
      </w:pPr>
      <w:r w:rsidRPr="001C3780">
        <w:rPr>
          <w:rFonts w:ascii="Arial" w:hAnsi="Arial" w:cs="Arial"/>
          <w:sz w:val="28"/>
          <w:szCs w:val="28"/>
        </w:rPr>
        <w:t xml:space="preserve">I have a disability as defined under the FHA, and because of my disability I require </w:t>
      </w:r>
      <w:proofErr w:type="gramStart"/>
      <w:r w:rsidRPr="001C3780">
        <w:rPr>
          <w:rFonts w:ascii="Arial" w:hAnsi="Arial" w:cs="Arial"/>
          <w:sz w:val="28"/>
          <w:szCs w:val="28"/>
        </w:rPr>
        <w:t>a reasonable</w:t>
      </w:r>
      <w:proofErr w:type="gramEnd"/>
      <w:r w:rsidRPr="001C3780">
        <w:rPr>
          <w:rFonts w:ascii="Arial" w:hAnsi="Arial" w:cs="Arial"/>
          <w:sz w:val="28"/>
          <w:szCs w:val="28"/>
        </w:rPr>
        <w:t xml:space="preserve"> </w:t>
      </w:r>
      <w:r w:rsidR="005B457A" w:rsidRPr="001C3780">
        <w:rPr>
          <w:rFonts w:ascii="Arial" w:hAnsi="Arial" w:cs="Arial"/>
          <w:sz w:val="28"/>
          <w:szCs w:val="28"/>
        </w:rPr>
        <w:t>accommodation of</w:t>
      </w:r>
      <w:r w:rsidRPr="001C3780">
        <w:rPr>
          <w:rFonts w:ascii="Arial" w:hAnsi="Arial" w:cs="Arial"/>
          <w:sz w:val="28"/>
          <w:szCs w:val="28"/>
        </w:rPr>
        <w:t xml:space="preserve"> the premises and/or common areas. The disability is</w:t>
      </w:r>
      <w:r w:rsidR="00C87B45" w:rsidRPr="001C3780">
        <w:rPr>
          <w:rFonts w:ascii="Arial" w:hAnsi="Arial" w:cs="Arial"/>
          <w:sz w:val="28"/>
          <w:szCs w:val="28"/>
        </w:rPr>
        <w:t xml:space="preserve"> </w:t>
      </w:r>
      <w:r w:rsidRPr="001C3780">
        <w:rPr>
          <w:rFonts w:ascii="Arial" w:hAnsi="Arial" w:cs="Arial"/>
          <w:sz w:val="28"/>
          <w:szCs w:val="28"/>
        </w:rPr>
        <w:t xml:space="preserve"> </w:t>
      </w:r>
      <w:sdt>
        <w:sdtPr>
          <w:rPr>
            <w:rFonts w:ascii="Arial" w:hAnsi="Arial" w:cs="Arial"/>
            <w:sz w:val="28"/>
            <w:szCs w:val="28"/>
          </w:rPr>
          <w:alias w:val="identify type of disability e.g., cerebral palsy, mobility impairment, multiple sclerosis, autism, PTSD"/>
          <w:tag w:val="identify type of disability e.g., cerebral palsy, mobility impairment, multiple sclerosis, autism, PTSD"/>
          <w:id w:val="-1786119654"/>
          <w:placeholder>
            <w:docPart w:val="DefaultPlaceholder_-1854013440"/>
          </w:placeholder>
          <w:showingPlcHdr/>
        </w:sdtPr>
        <w:sdtContent>
          <w:r w:rsidR="00C87B45" w:rsidRPr="001C3780">
            <w:rPr>
              <w:rStyle w:val="PlaceholderText"/>
              <w:rFonts w:ascii="Arial" w:hAnsi="Arial" w:cs="Arial"/>
              <w:color w:val="0000FF"/>
              <w:sz w:val="28"/>
              <w:szCs w:val="28"/>
            </w:rPr>
            <w:t>Click or tap here to enter text.</w:t>
          </w:r>
        </w:sdtContent>
      </w:sdt>
      <w:r w:rsidRPr="001C3780">
        <w:rPr>
          <w:rFonts w:ascii="Arial" w:hAnsi="Arial" w:cs="Arial"/>
          <w:sz w:val="28"/>
          <w:szCs w:val="28"/>
        </w:rPr>
        <w:t xml:space="preserve">. </w:t>
      </w:r>
      <w:sdt>
        <w:sdtPr>
          <w:rPr>
            <w:rFonts w:ascii="Arial" w:hAnsi="Arial" w:cs="Arial"/>
            <w:sz w:val="28"/>
            <w:szCs w:val="28"/>
          </w:rPr>
          <w:alias w:val="Choose which statement applies to you"/>
          <w:tag w:val="Choose which statement applies to you"/>
          <w:id w:val="-2077120114"/>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w:value="Because my disability is not obvious or known to you, I have attached healthcare documentation about my disability that supports this reasonable accommodation request."/>
          </w:dropDownList>
        </w:sdtPr>
        <w:sdtContent>
          <w:r w:rsidR="00C87B45" w:rsidRPr="001C3780">
            <w:rPr>
              <w:rStyle w:val="PlaceholderText"/>
              <w:rFonts w:ascii="Arial" w:hAnsi="Arial" w:cs="Arial"/>
              <w:color w:val="0000FF"/>
              <w:sz w:val="28"/>
              <w:szCs w:val="28"/>
            </w:rPr>
            <w:t>Choose an item.</w:t>
          </w:r>
        </w:sdtContent>
      </w:sdt>
      <w:r w:rsidRPr="001C3780">
        <w:rPr>
          <w:rFonts w:ascii="Arial" w:hAnsi="Arial" w:cs="Arial"/>
          <w:sz w:val="28"/>
          <w:szCs w:val="28"/>
        </w:rPr>
        <w:t xml:space="preserve"> </w:t>
      </w:r>
    </w:p>
    <w:p w14:paraId="1B011753" w14:textId="6B659D0B" w:rsidR="00C53E57" w:rsidRPr="001C3780" w:rsidRDefault="000C61FA" w:rsidP="001C3780">
      <w:pPr>
        <w:jc w:val="both"/>
        <w:rPr>
          <w:rFonts w:ascii="Arial" w:hAnsi="Arial" w:cs="Arial"/>
          <w:sz w:val="28"/>
          <w:szCs w:val="28"/>
        </w:rPr>
      </w:pPr>
      <w:r w:rsidRPr="001C3780">
        <w:rPr>
          <w:rFonts w:ascii="Arial" w:hAnsi="Arial" w:cs="Arial"/>
          <w:sz w:val="28"/>
          <w:szCs w:val="28"/>
        </w:rPr>
        <w:t>Because of my disability, I require approval to make the following reasonable accommodation(s) for full enjoyment of the premise</w:t>
      </w:r>
      <w:r w:rsidR="00C53E57" w:rsidRPr="001C3780">
        <w:rPr>
          <w:rFonts w:ascii="Arial" w:hAnsi="Arial" w:cs="Arial"/>
          <w:sz w:val="28"/>
          <w:szCs w:val="28"/>
        </w:rPr>
        <w:t>s</w:t>
      </w:r>
      <w:r w:rsidR="00C87B45" w:rsidRPr="001C3780">
        <w:rPr>
          <w:rFonts w:ascii="Arial" w:hAnsi="Arial" w:cs="Arial"/>
          <w:sz w:val="28"/>
          <w:szCs w:val="28"/>
        </w:rPr>
        <w:t>:</w:t>
      </w:r>
      <w:r w:rsidR="001C3780">
        <w:rPr>
          <w:rFonts w:ascii="Arial" w:hAnsi="Arial" w:cs="Arial"/>
          <w:sz w:val="28"/>
          <w:szCs w:val="28"/>
        </w:rPr>
        <w:t xml:space="preserve"> </w:t>
      </w:r>
      <w:sdt>
        <w:sdtPr>
          <w:rPr>
            <w:rFonts w:ascii="Arial" w:hAnsi="Arial" w:cs="Arial"/>
            <w:color w:val="0000FF"/>
            <w:sz w:val="28"/>
            <w:szCs w:val="28"/>
          </w:rPr>
          <w:alias w:val="Chosoe one that applies"/>
          <w:tag w:val="Chosoe one that applies"/>
          <w:id w:val="1099989470"/>
          <w:placeholder>
            <w:docPart w:val="DefaultPlaceholder_-1854013438"/>
          </w:placeholder>
          <w:showingPlcHdr/>
          <w:dropDownList>
            <w:listItem w:value="Choose an item."/>
            <w:listItem w:displayText="waiver of breed restriction" w:value="waiver of breed restriction"/>
            <w:listItem w:displayText="waiver of pet fee" w:value="waiver of pet fee"/>
            <w:listItem w:displayText="waiver of no-pet rule" w:value="waiver of no-pet rule"/>
            <w:listItem w:displayText="waiver of pet restriction" w:value="waiver of pet restriction"/>
            <w:listItem w:displayText="waiver of rule that pets must be on leash" w:value="waiver of rule that pets must be on leash"/>
            <w:listItem w:displayText="waiver of number of pets" w:value="waiver of number of pets"/>
          </w:dropDownList>
        </w:sdtPr>
        <w:sdtContent>
          <w:r w:rsidR="00C87B45" w:rsidRPr="001C3780">
            <w:rPr>
              <w:rStyle w:val="PlaceholderText"/>
              <w:rFonts w:ascii="Arial" w:hAnsi="Arial" w:cs="Arial"/>
              <w:color w:val="0000FF"/>
              <w:sz w:val="28"/>
              <w:szCs w:val="28"/>
            </w:rPr>
            <w:t>Choose an item.</w:t>
          </w:r>
        </w:sdtContent>
      </w:sdt>
      <w:r w:rsidR="00F764CA" w:rsidRPr="001C3780">
        <w:rPr>
          <w:rFonts w:ascii="Arial" w:hAnsi="Arial" w:cs="Arial"/>
          <w:color w:val="0000FF"/>
          <w:sz w:val="28"/>
          <w:szCs w:val="28"/>
        </w:rPr>
        <w:t xml:space="preserve"> </w:t>
      </w:r>
    </w:p>
    <w:p w14:paraId="3B8A2764" w14:textId="4F51CBC3" w:rsidR="000C61FA" w:rsidRPr="001C3780" w:rsidRDefault="000C61FA" w:rsidP="001C3780">
      <w:pPr>
        <w:jc w:val="both"/>
        <w:rPr>
          <w:rFonts w:ascii="Arial" w:hAnsi="Arial" w:cs="Arial"/>
          <w:sz w:val="28"/>
          <w:szCs w:val="28"/>
        </w:rPr>
      </w:pPr>
      <w:r w:rsidRPr="001C3780">
        <w:rPr>
          <w:rFonts w:ascii="Arial" w:hAnsi="Arial" w:cs="Arial"/>
          <w:sz w:val="28"/>
          <w:szCs w:val="28"/>
        </w:rPr>
        <w:t xml:space="preserve">Under the FHA, a reasonable accommodation is an exception in rules, policies, practices, or services, when such accommodations may be necessary to afford [a disabled] person equal opportunity to use and enjoy a dwelling.” 42 U.S.C. § 3604(f)(3)(B). </w:t>
      </w:r>
      <w:r w:rsidR="003B39FE" w:rsidRPr="001C3780">
        <w:rPr>
          <w:rFonts w:ascii="Arial" w:hAnsi="Arial" w:cs="Arial"/>
          <w:sz w:val="28"/>
          <w:szCs w:val="28"/>
        </w:rPr>
        <w:t xml:space="preserve">Since an assistance animal is akin to a medical device necessary for a person with a disability to have an equal opportunity to use or enjoy a dwelling, pet rules do not apply to assistance animals. See e.g., </w:t>
      </w:r>
      <w:r w:rsidR="003B39FE" w:rsidRPr="001C3780">
        <w:rPr>
          <w:rFonts w:ascii="Arial" w:hAnsi="Arial" w:cs="Arial"/>
          <w:i/>
          <w:iCs/>
          <w:sz w:val="28"/>
          <w:szCs w:val="28"/>
        </w:rPr>
        <w:t>Petty v. Portofino Council of Co-owners, Inc</w:t>
      </w:r>
      <w:r w:rsidR="003B39FE" w:rsidRPr="001C3780">
        <w:rPr>
          <w:rFonts w:ascii="Arial" w:hAnsi="Arial" w:cs="Arial"/>
          <w:sz w:val="28"/>
          <w:szCs w:val="28"/>
        </w:rPr>
        <w:t>., 702 F.Supp.2d 721, 731 (S.D.Tex. 2010). A</w:t>
      </w:r>
      <w:r w:rsidRPr="001C3780">
        <w:rPr>
          <w:rFonts w:ascii="Arial" w:hAnsi="Arial" w:cs="Arial"/>
          <w:sz w:val="28"/>
          <w:szCs w:val="28"/>
        </w:rPr>
        <w:t>ccommodations</w:t>
      </w:r>
      <w:r w:rsidR="00F764CA" w:rsidRPr="001C3780">
        <w:rPr>
          <w:rFonts w:ascii="Arial" w:hAnsi="Arial" w:cs="Arial"/>
          <w:sz w:val="28"/>
          <w:szCs w:val="28"/>
        </w:rPr>
        <w:t xml:space="preserve"> </w:t>
      </w:r>
      <w:r w:rsidR="003B39FE" w:rsidRPr="001C3780">
        <w:rPr>
          <w:rFonts w:ascii="Arial" w:hAnsi="Arial" w:cs="Arial"/>
          <w:sz w:val="28"/>
          <w:szCs w:val="28"/>
        </w:rPr>
        <w:t>include</w:t>
      </w:r>
      <w:r w:rsidR="00F764CA" w:rsidRPr="001C3780">
        <w:rPr>
          <w:rFonts w:ascii="Arial" w:hAnsi="Arial" w:cs="Arial"/>
          <w:sz w:val="28"/>
          <w:szCs w:val="28"/>
        </w:rPr>
        <w:t xml:space="preserve"> </w:t>
      </w:r>
      <w:r w:rsidR="00C53E57" w:rsidRPr="001C3780">
        <w:rPr>
          <w:rFonts w:ascii="Arial" w:hAnsi="Arial" w:cs="Arial"/>
          <w:sz w:val="28"/>
          <w:szCs w:val="28"/>
        </w:rPr>
        <w:t xml:space="preserve">allowing one or more assistance animals to live with a disabled resident in housing without paying additional fees. </w:t>
      </w:r>
      <w:r w:rsidR="00C53E57" w:rsidRPr="001C3780">
        <w:rPr>
          <w:rFonts w:ascii="Arial" w:hAnsi="Arial" w:cs="Arial"/>
          <w:i/>
          <w:iCs/>
          <w:sz w:val="28"/>
          <w:szCs w:val="28"/>
        </w:rPr>
        <w:t>Id</w:t>
      </w:r>
      <w:r w:rsidR="00C53E57" w:rsidRPr="001C3780">
        <w:rPr>
          <w:rFonts w:ascii="Arial" w:hAnsi="Arial" w:cs="Arial"/>
          <w:sz w:val="28"/>
          <w:szCs w:val="28"/>
        </w:rPr>
        <w:t xml:space="preserve">. </w:t>
      </w:r>
      <w:r w:rsidR="003B39FE" w:rsidRPr="001C3780">
        <w:rPr>
          <w:rFonts w:ascii="Arial" w:hAnsi="Arial" w:cs="Arial"/>
          <w:sz w:val="28"/>
          <w:szCs w:val="28"/>
        </w:rPr>
        <w:t>H</w:t>
      </w:r>
      <w:r w:rsidR="00C53E57" w:rsidRPr="001C3780">
        <w:rPr>
          <w:rFonts w:ascii="Arial" w:hAnsi="Arial" w:cs="Arial"/>
          <w:sz w:val="28"/>
          <w:szCs w:val="28"/>
        </w:rPr>
        <w:t xml:space="preserve">ousing providers may not limit the breed or size of a dog used as an assistance animal due to concerns about the animal’s size or breed. </w:t>
      </w:r>
      <w:r w:rsidR="00C53E57" w:rsidRPr="001C3780">
        <w:rPr>
          <w:rFonts w:ascii="Arial" w:hAnsi="Arial" w:cs="Arial"/>
          <w:i/>
          <w:iCs/>
          <w:sz w:val="28"/>
          <w:szCs w:val="28"/>
        </w:rPr>
        <w:t>See e.g., Bhogaita v. Altamonte Heights Condo. Ass’n</w:t>
      </w:r>
      <w:r w:rsidR="00C53E57" w:rsidRPr="001C3780">
        <w:rPr>
          <w:rFonts w:ascii="Arial" w:hAnsi="Arial" w:cs="Arial"/>
          <w:sz w:val="28"/>
          <w:szCs w:val="28"/>
        </w:rPr>
        <w:t>, 765 F.3d 1277 (11th Cir. 2014).</w:t>
      </w:r>
      <w:r w:rsidR="003B39FE" w:rsidRPr="001C3780">
        <w:rPr>
          <w:rFonts w:ascii="Arial" w:hAnsi="Arial" w:cs="Arial"/>
          <w:sz w:val="28"/>
          <w:szCs w:val="28"/>
        </w:rPr>
        <w:t xml:space="preserve"> Nor may housing providers impose leash rules against tenants or homeowners with disabilities where they have the assistance animal under control without the leash and the assistance animal </w:t>
      </w:r>
      <w:r w:rsidR="003B39FE" w:rsidRPr="001C3780">
        <w:rPr>
          <w:rFonts w:ascii="Arial" w:hAnsi="Arial" w:cs="Arial"/>
          <w:sz w:val="28"/>
          <w:szCs w:val="28"/>
        </w:rPr>
        <w:lastRenderedPageBreak/>
        <w:t xml:space="preserve">cannot perform the task on the leash or the person’s disability prevents use of the leash. </w:t>
      </w:r>
      <w:r w:rsidR="003B39FE" w:rsidRPr="001C3780">
        <w:rPr>
          <w:rFonts w:ascii="Arial" w:hAnsi="Arial" w:cs="Arial"/>
          <w:i/>
          <w:iCs/>
          <w:sz w:val="28"/>
          <w:szCs w:val="28"/>
        </w:rPr>
        <w:t>See</w:t>
      </w:r>
      <w:r w:rsidR="003B39FE" w:rsidRPr="001C3780">
        <w:rPr>
          <w:rFonts w:ascii="Arial" w:hAnsi="Arial" w:cs="Arial"/>
          <w:sz w:val="28"/>
          <w:szCs w:val="28"/>
        </w:rPr>
        <w:t xml:space="preserve"> </w:t>
      </w:r>
      <w:hyperlink r:id="rId10" w:history="1">
        <w:r w:rsidR="00737DE1">
          <w:rPr>
            <w:rStyle w:val="Hyperlink"/>
            <w:rFonts w:ascii="Arial" w:hAnsi="Arial" w:cs="Arial"/>
            <w:sz w:val="28"/>
            <w:szCs w:val="28"/>
          </w:rPr>
          <w:t>U.S. Department of Justice Frequently Asked Questions About Service Animals</w:t>
        </w:r>
      </w:hyperlink>
      <w:r w:rsidR="001C3780">
        <w:rPr>
          <w:rFonts w:ascii="Arial" w:hAnsi="Arial" w:cs="Arial"/>
          <w:sz w:val="28"/>
          <w:szCs w:val="28"/>
        </w:rPr>
        <w:t xml:space="preserve">. </w:t>
      </w:r>
      <w:r w:rsidR="003B39FE" w:rsidRPr="001C3780">
        <w:rPr>
          <w:rFonts w:ascii="Arial" w:hAnsi="Arial" w:cs="Arial"/>
          <w:sz w:val="28"/>
          <w:szCs w:val="28"/>
        </w:rPr>
        <w:t xml:space="preserve">   </w:t>
      </w:r>
      <w:r w:rsidR="00C53E57" w:rsidRPr="001C3780">
        <w:rPr>
          <w:rFonts w:ascii="Arial" w:hAnsi="Arial" w:cs="Arial"/>
          <w:sz w:val="28"/>
          <w:szCs w:val="28"/>
        </w:rPr>
        <w:t xml:space="preserve"> </w:t>
      </w:r>
    </w:p>
    <w:p w14:paraId="3D6DB053" w14:textId="02D07957" w:rsidR="005317F0" w:rsidRPr="001C3780" w:rsidRDefault="005317F0" w:rsidP="001C3780">
      <w:pPr>
        <w:pStyle w:val="Default"/>
        <w:spacing w:line="276" w:lineRule="auto"/>
        <w:jc w:val="both"/>
        <w:rPr>
          <w:sz w:val="28"/>
          <w:szCs w:val="28"/>
        </w:rPr>
      </w:pPr>
      <w:proofErr w:type="gramStart"/>
      <w:r w:rsidRPr="001C3780">
        <w:rPr>
          <w:sz w:val="28"/>
          <w:szCs w:val="28"/>
        </w:rPr>
        <w:t>A</w:t>
      </w:r>
      <w:r w:rsidR="00C53E57" w:rsidRPr="001C3780">
        <w:rPr>
          <w:sz w:val="28"/>
          <w:szCs w:val="28"/>
        </w:rPr>
        <w:t>ccommodations</w:t>
      </w:r>
      <w:proofErr w:type="gramEnd"/>
      <w:r w:rsidR="00C53E57" w:rsidRPr="001C3780">
        <w:rPr>
          <w:sz w:val="28"/>
          <w:szCs w:val="28"/>
        </w:rPr>
        <w:t xml:space="preserve"> </w:t>
      </w:r>
      <w:r w:rsidRPr="001C3780">
        <w:rPr>
          <w:sz w:val="28"/>
          <w:szCs w:val="28"/>
        </w:rPr>
        <w:t xml:space="preserve">may also </w:t>
      </w:r>
      <w:r w:rsidR="00C53E57" w:rsidRPr="001C3780">
        <w:rPr>
          <w:sz w:val="28"/>
          <w:szCs w:val="28"/>
        </w:rPr>
        <w:t xml:space="preserve">include </w:t>
      </w:r>
      <w:r w:rsidRPr="001C3780">
        <w:rPr>
          <w:sz w:val="28"/>
          <w:szCs w:val="28"/>
        </w:rPr>
        <w:t xml:space="preserve">permitting an exception to a </w:t>
      </w:r>
      <w:r w:rsidR="00C53E57" w:rsidRPr="001C3780">
        <w:rPr>
          <w:sz w:val="28"/>
          <w:szCs w:val="28"/>
        </w:rPr>
        <w:t>leash</w:t>
      </w:r>
      <w:r w:rsidRPr="001C3780">
        <w:rPr>
          <w:sz w:val="28"/>
          <w:szCs w:val="28"/>
        </w:rPr>
        <w:t xml:space="preserve"> rule for disability related reasons, </w:t>
      </w:r>
      <w:proofErr w:type="gramStart"/>
      <w:r w:rsidRPr="001C3780">
        <w:rPr>
          <w:sz w:val="28"/>
          <w:szCs w:val="28"/>
        </w:rPr>
        <w:t>as long as</w:t>
      </w:r>
      <w:proofErr w:type="gramEnd"/>
      <w:r w:rsidRPr="001C3780">
        <w:rPr>
          <w:sz w:val="28"/>
          <w:szCs w:val="28"/>
        </w:rPr>
        <w:t xml:space="preserve"> the handler has control over the assistance animal. </w:t>
      </w:r>
      <w:r w:rsidRPr="001C3780">
        <w:rPr>
          <w:i/>
          <w:iCs/>
          <w:sz w:val="28"/>
          <w:szCs w:val="28"/>
        </w:rPr>
        <w:t>See also Alboniga v. Sch. Bd. of Broward Cty. Fla.</w:t>
      </w:r>
      <w:r w:rsidRPr="001C3780">
        <w:rPr>
          <w:sz w:val="28"/>
          <w:szCs w:val="28"/>
        </w:rPr>
        <w:t>, 87 F. Supp. 3d 1319, 1342 (S.D. Fla. 2015) (“even absent tethering, voice controls or signals between the animal and the disabled handler can constitute control.”).</w:t>
      </w:r>
      <w:r w:rsidR="00C53E57" w:rsidRPr="001C3780">
        <w:rPr>
          <w:sz w:val="28"/>
          <w:szCs w:val="28"/>
        </w:rPr>
        <w:t xml:space="preserve"> The Americans with Disabilities Act (ADA), which defines the term “service animal” more narrowly than the FHA’s broad “assistance animal” definition, provides guidance for off leash service animals. The ADA</w:t>
      </w:r>
      <w:r w:rsidRPr="001C3780">
        <w:rPr>
          <w:sz w:val="28"/>
          <w:szCs w:val="28"/>
        </w:rPr>
        <w:t xml:space="preserve"> requires</w:t>
      </w:r>
      <w:r w:rsidR="00490512">
        <w:rPr>
          <w:sz w:val="28"/>
          <w:szCs w:val="28"/>
        </w:rPr>
        <w:t>:</w:t>
      </w:r>
      <w:r w:rsidRPr="001C3780">
        <w:rPr>
          <w:sz w:val="28"/>
          <w:szCs w:val="28"/>
        </w:rPr>
        <w:t xml:space="preserve"> </w:t>
      </w:r>
    </w:p>
    <w:p w14:paraId="395621CF" w14:textId="77777777" w:rsidR="005317F0" w:rsidRPr="001C3780" w:rsidRDefault="005317F0" w:rsidP="001C3780">
      <w:pPr>
        <w:pStyle w:val="Default"/>
        <w:spacing w:line="276" w:lineRule="auto"/>
        <w:jc w:val="both"/>
        <w:rPr>
          <w:sz w:val="28"/>
          <w:szCs w:val="28"/>
        </w:rPr>
      </w:pPr>
    </w:p>
    <w:p w14:paraId="37267C88" w14:textId="77777777" w:rsidR="005317F0" w:rsidRPr="001C3780" w:rsidRDefault="005317F0" w:rsidP="001C3780">
      <w:pPr>
        <w:pStyle w:val="Default"/>
        <w:spacing w:line="276" w:lineRule="auto"/>
        <w:ind w:left="720" w:right="1080"/>
        <w:jc w:val="both"/>
        <w:rPr>
          <w:sz w:val="28"/>
          <w:szCs w:val="28"/>
        </w:rPr>
      </w:pPr>
      <w:r w:rsidRPr="001C3780">
        <w:rPr>
          <w:sz w:val="28"/>
          <w:szCs w:val="28"/>
        </w:rPr>
        <w:t xml:space="preserve">service animal must be harnessed, leashed, or tethered while in public places unless these devices interfere with the service animal’s work or the person’s disability prevents use of these devices. In that case, the person must use voice, signal, or other effective means to maintain control of the animal. For example, a person who uses a wheelchair may use a long, retractable leash to allow her service animal to pick up or retrieve items. She may not allow the dog to wander away from her and must maintain control of the dog, even if it is retrieving an item at a distance from her. </w:t>
      </w:r>
      <w:proofErr w:type="gramStart"/>
      <w:r w:rsidRPr="001C3780">
        <w:rPr>
          <w:sz w:val="28"/>
          <w:szCs w:val="28"/>
        </w:rPr>
        <w:t>Or,</w:t>
      </w:r>
      <w:proofErr w:type="gramEnd"/>
      <w:r w:rsidRPr="001C3780">
        <w:rPr>
          <w:sz w:val="28"/>
          <w:szCs w:val="28"/>
        </w:rPr>
        <w:t xml:space="preserve"> a returning veteran who has PTSD and has great difficulty entering unfamiliar spaces may have a dog that is trained to enter a space, check to see that no threats are there, and come back and signal that it is safe to enter. The dog must be off leash to do its </w:t>
      </w:r>
      <w:proofErr w:type="gramStart"/>
      <w:r w:rsidRPr="001C3780">
        <w:rPr>
          <w:sz w:val="28"/>
          <w:szCs w:val="28"/>
        </w:rPr>
        <w:t>job, but</w:t>
      </w:r>
      <w:proofErr w:type="gramEnd"/>
      <w:r w:rsidRPr="001C3780">
        <w:rPr>
          <w:sz w:val="28"/>
          <w:szCs w:val="28"/>
        </w:rPr>
        <w:t xml:space="preserve"> may be leashed at other times.</w:t>
      </w:r>
      <w:r w:rsidR="00C53E57" w:rsidRPr="001C3780">
        <w:rPr>
          <w:sz w:val="28"/>
          <w:szCs w:val="28"/>
        </w:rPr>
        <w:t xml:space="preserve"> </w:t>
      </w:r>
    </w:p>
    <w:p w14:paraId="1BE83904" w14:textId="77777777" w:rsidR="005317F0" w:rsidRPr="001C3780" w:rsidRDefault="005317F0" w:rsidP="001C3780">
      <w:pPr>
        <w:pStyle w:val="Default"/>
        <w:spacing w:line="276" w:lineRule="auto"/>
        <w:jc w:val="both"/>
        <w:rPr>
          <w:sz w:val="28"/>
          <w:szCs w:val="28"/>
        </w:rPr>
      </w:pPr>
    </w:p>
    <w:p w14:paraId="5131194D" w14:textId="4B39081F" w:rsidR="00C53E57" w:rsidRPr="001C3780" w:rsidRDefault="005317F0" w:rsidP="001C3780">
      <w:pPr>
        <w:pStyle w:val="Default"/>
        <w:spacing w:line="276" w:lineRule="auto"/>
        <w:jc w:val="both"/>
        <w:rPr>
          <w:sz w:val="28"/>
          <w:szCs w:val="28"/>
        </w:rPr>
      </w:pPr>
      <w:r w:rsidRPr="001C3780">
        <w:rPr>
          <w:sz w:val="28"/>
          <w:szCs w:val="28"/>
        </w:rPr>
        <w:t xml:space="preserve">See </w:t>
      </w:r>
      <w:hyperlink r:id="rId11" w:history="1">
        <w:r w:rsidR="00737DE1">
          <w:rPr>
            <w:rStyle w:val="Hyperlink"/>
            <w:sz w:val="28"/>
            <w:szCs w:val="28"/>
          </w:rPr>
          <w:t>U.S. Department of Justice Frequently Asked Questions About Service Animals</w:t>
        </w:r>
      </w:hyperlink>
      <w:r w:rsidRPr="001C3780">
        <w:rPr>
          <w:sz w:val="28"/>
          <w:szCs w:val="28"/>
        </w:rPr>
        <w:t xml:space="preserve">. </w:t>
      </w:r>
      <w:r w:rsidR="00A55D24" w:rsidRPr="001C3780">
        <w:rPr>
          <w:sz w:val="28"/>
          <w:szCs w:val="28"/>
        </w:rPr>
        <w:t xml:space="preserve">Although the ADA does not apply to housing, courts regularly look to ADA precedent to provide guidance while interpreting similar </w:t>
      </w:r>
      <w:proofErr w:type="gramStart"/>
      <w:r w:rsidR="00A55D24" w:rsidRPr="001C3780">
        <w:rPr>
          <w:sz w:val="28"/>
          <w:szCs w:val="28"/>
        </w:rPr>
        <w:t>provision</w:t>
      </w:r>
      <w:proofErr w:type="gramEnd"/>
      <w:r w:rsidR="00A55D24" w:rsidRPr="001C3780">
        <w:rPr>
          <w:sz w:val="28"/>
          <w:szCs w:val="28"/>
        </w:rPr>
        <w:t xml:space="preserve"> of the FHA. </w:t>
      </w:r>
      <w:r w:rsidR="00A55D24" w:rsidRPr="001C3780">
        <w:rPr>
          <w:i/>
          <w:iCs/>
          <w:sz w:val="28"/>
          <w:szCs w:val="28"/>
        </w:rPr>
        <w:t>See, e.g., Giebeler v. M&amp;B Associates</w:t>
      </w:r>
      <w:r w:rsidR="00A55D24" w:rsidRPr="001C3780">
        <w:rPr>
          <w:sz w:val="28"/>
          <w:szCs w:val="28"/>
        </w:rPr>
        <w:t xml:space="preserve">, 343 F.3d at 1143, 1156 (analyzing the ADA’s burden-shifting analysis as applicable to reasonable </w:t>
      </w:r>
      <w:r w:rsidR="00A55D24" w:rsidRPr="001C3780">
        <w:rPr>
          <w:sz w:val="28"/>
          <w:szCs w:val="28"/>
        </w:rPr>
        <w:lastRenderedPageBreak/>
        <w:t>accommodations in the FHA context and noting that: “[t]here is…ADA precedent on the question.”)</w:t>
      </w:r>
    </w:p>
    <w:p w14:paraId="4F946203" w14:textId="77777777" w:rsidR="00C53E57" w:rsidRPr="001C3780" w:rsidRDefault="00C53E57" w:rsidP="001C3780">
      <w:pPr>
        <w:pStyle w:val="Default"/>
        <w:jc w:val="both"/>
        <w:rPr>
          <w:sz w:val="28"/>
          <w:szCs w:val="28"/>
        </w:rPr>
      </w:pPr>
    </w:p>
    <w:p w14:paraId="3E15F8C7" w14:textId="1ECEABBD" w:rsidR="000C61FA" w:rsidRPr="001C3780" w:rsidRDefault="000C61FA" w:rsidP="001C3780">
      <w:pPr>
        <w:jc w:val="both"/>
        <w:rPr>
          <w:rFonts w:ascii="Arial" w:hAnsi="Arial" w:cs="Arial"/>
          <w:sz w:val="28"/>
          <w:szCs w:val="28"/>
        </w:rPr>
      </w:pPr>
      <w:r w:rsidRPr="001C3780">
        <w:rPr>
          <w:rFonts w:ascii="Arial" w:hAnsi="Arial" w:cs="Arial"/>
          <w:sz w:val="28"/>
          <w:szCs w:val="28"/>
        </w:rPr>
        <w:t xml:space="preserve">Please respond in writing to my reasonable </w:t>
      </w:r>
      <w:r w:rsidR="00F764CA" w:rsidRPr="001C3780">
        <w:rPr>
          <w:rFonts w:ascii="Arial" w:hAnsi="Arial" w:cs="Arial"/>
          <w:sz w:val="28"/>
          <w:szCs w:val="28"/>
        </w:rPr>
        <w:t>accommodation request</w:t>
      </w:r>
      <w:r w:rsidRPr="001C3780">
        <w:rPr>
          <w:rFonts w:ascii="Arial" w:hAnsi="Arial" w:cs="Arial"/>
          <w:sz w:val="28"/>
          <w:szCs w:val="28"/>
        </w:rPr>
        <w:t xml:space="preserve"> within seven calendar days. Prior to any decision to deny this reasonable </w:t>
      </w:r>
      <w:r w:rsidR="00F764CA" w:rsidRPr="001C3780">
        <w:rPr>
          <w:rFonts w:ascii="Arial" w:hAnsi="Arial" w:cs="Arial"/>
          <w:sz w:val="28"/>
          <w:szCs w:val="28"/>
        </w:rPr>
        <w:t>accommodation request</w:t>
      </w:r>
      <w:r w:rsidRPr="001C3780">
        <w:rPr>
          <w:rFonts w:ascii="Arial" w:hAnsi="Arial" w:cs="Arial"/>
          <w:sz w:val="28"/>
          <w:szCs w:val="28"/>
        </w:rPr>
        <w:t xml:space="preserve">, please engage in the interactive process to discuss the request. </w:t>
      </w:r>
    </w:p>
    <w:p w14:paraId="6BF5AEC6" w14:textId="38F942DA" w:rsidR="000C61FA" w:rsidRPr="001C3780" w:rsidRDefault="000C61FA" w:rsidP="001C3780">
      <w:pPr>
        <w:jc w:val="both"/>
        <w:rPr>
          <w:rFonts w:ascii="Arial" w:hAnsi="Arial" w:cs="Arial"/>
          <w:sz w:val="28"/>
          <w:szCs w:val="28"/>
        </w:rPr>
      </w:pPr>
      <w:r w:rsidRPr="001C3780">
        <w:rPr>
          <w:rFonts w:ascii="Arial" w:hAnsi="Arial" w:cs="Arial"/>
          <w:sz w:val="28"/>
          <w:szCs w:val="28"/>
        </w:rPr>
        <w:t xml:space="preserve">If you need any additional information to consider my reasonable </w:t>
      </w:r>
      <w:r w:rsidR="00F764CA" w:rsidRPr="001C3780">
        <w:rPr>
          <w:rFonts w:ascii="Arial" w:hAnsi="Arial" w:cs="Arial"/>
          <w:sz w:val="28"/>
          <w:szCs w:val="28"/>
        </w:rPr>
        <w:t>accommodation request</w:t>
      </w:r>
      <w:r w:rsidRPr="001C3780">
        <w:rPr>
          <w:rFonts w:ascii="Arial" w:hAnsi="Arial" w:cs="Arial"/>
          <w:sz w:val="28"/>
          <w:szCs w:val="28"/>
        </w:rPr>
        <w:t xml:space="preserve">, please inform me in writing.  </w:t>
      </w:r>
    </w:p>
    <w:p w14:paraId="4B3EE2E2" w14:textId="77777777" w:rsidR="000C61FA" w:rsidRPr="001C3780" w:rsidRDefault="000C61FA" w:rsidP="001C3780">
      <w:pPr>
        <w:jc w:val="both"/>
        <w:rPr>
          <w:rFonts w:ascii="Arial" w:hAnsi="Arial" w:cs="Arial"/>
          <w:sz w:val="28"/>
          <w:szCs w:val="28"/>
        </w:rPr>
      </w:pPr>
      <w:r w:rsidRPr="001C3780">
        <w:rPr>
          <w:rFonts w:ascii="Arial" w:hAnsi="Arial" w:cs="Arial"/>
          <w:sz w:val="28"/>
          <w:szCs w:val="28"/>
        </w:rPr>
        <w:t xml:space="preserve">I look forward to your response and appreciate your attention to this matter.   </w:t>
      </w:r>
    </w:p>
    <w:p w14:paraId="2D6A1371" w14:textId="77777777" w:rsidR="00737DE1" w:rsidRPr="00BE6779" w:rsidRDefault="00737DE1" w:rsidP="00737DE1">
      <w:pPr>
        <w:spacing w:after="0" w:line="240" w:lineRule="auto"/>
        <w:jc w:val="both"/>
        <w:rPr>
          <w:rFonts w:ascii="Arial" w:hAnsi="Arial" w:cs="Arial"/>
          <w:sz w:val="28"/>
          <w:szCs w:val="28"/>
        </w:rPr>
      </w:pPr>
      <w:r w:rsidRPr="00BE6779">
        <w:rPr>
          <w:rFonts w:ascii="Arial" w:hAnsi="Arial" w:cs="Arial"/>
          <w:sz w:val="28"/>
          <w:szCs w:val="28"/>
        </w:rPr>
        <w:t>Sincerely,</w:t>
      </w:r>
    </w:p>
    <w:p w14:paraId="59789510" w14:textId="77777777" w:rsidR="00737DE1" w:rsidRPr="00BE6779" w:rsidRDefault="0055764A" w:rsidP="00737DE1">
      <w:pPr>
        <w:spacing w:after="0" w:line="240" w:lineRule="auto"/>
        <w:jc w:val="both"/>
        <w:rPr>
          <w:rFonts w:ascii="Arial" w:hAnsi="Arial" w:cs="Arial"/>
          <w:sz w:val="28"/>
          <w:szCs w:val="28"/>
        </w:rPr>
      </w:pPr>
      <w:r>
        <w:rPr>
          <w:rFonts w:ascii="Arial" w:hAnsi="Arial" w:cs="Arial"/>
          <w:sz w:val="28"/>
          <w:szCs w:val="28"/>
        </w:rPr>
        <w:pict w14:anchorId="6880B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2.5pt;height:66.5pt">
            <v:imagedata r:id="rId12" o:title=""/>
            <o:lock v:ext="edit" ungrouping="t" rotation="t" cropping="t" verticies="t" text="t" grouping="t"/>
            <o:signatureline v:ext="edit" id="{0D77BEB8-5ACA-4B7A-89F1-584672381336}" provid="{00000000-0000-0000-0000-000000000000}" issignatureline="t"/>
          </v:shape>
        </w:pict>
      </w:r>
    </w:p>
    <w:p w14:paraId="01FB7DCE" w14:textId="77777777" w:rsidR="00737DE1" w:rsidRPr="00BE6779" w:rsidRDefault="00737DE1" w:rsidP="00737DE1">
      <w:pPr>
        <w:spacing w:after="0" w:line="240" w:lineRule="auto"/>
        <w:jc w:val="both"/>
        <w:rPr>
          <w:rFonts w:ascii="Arial" w:hAnsi="Arial" w:cs="Arial"/>
          <w:sz w:val="28"/>
          <w:szCs w:val="28"/>
        </w:rPr>
      </w:pPr>
    </w:p>
    <w:p w14:paraId="2815E609" w14:textId="77777777" w:rsidR="00737DE1" w:rsidRPr="00BE6779" w:rsidRDefault="00000000" w:rsidP="00737DE1">
      <w:pPr>
        <w:jc w:val="both"/>
        <w:rPr>
          <w:rFonts w:ascii="Arial" w:hAnsi="Arial" w:cs="Arial"/>
          <w:sz w:val="28"/>
          <w:szCs w:val="28"/>
        </w:rPr>
      </w:pPr>
      <w:sdt>
        <w:sdtPr>
          <w:rPr>
            <w:rFonts w:ascii="Arial" w:hAnsi="Arial" w:cs="Arial"/>
            <w:sz w:val="28"/>
            <w:szCs w:val="28"/>
          </w:rPr>
          <w:alias w:val="Your name (signature above)"/>
          <w:tag w:val="Your name (signature above)"/>
          <w:id w:val="811907299"/>
          <w:placeholder>
            <w:docPart w:val="E623A8308DA342A9AFF5A50776557A34"/>
          </w:placeholder>
          <w:showingPlcHdr/>
        </w:sdtPr>
        <w:sdtContent>
          <w:r w:rsidR="00737DE1" w:rsidRPr="00BE6779">
            <w:rPr>
              <w:rStyle w:val="PlaceholderText"/>
              <w:rFonts w:ascii="Arial" w:hAnsi="Arial" w:cs="Arial"/>
              <w:color w:val="0000FF"/>
              <w:sz w:val="28"/>
              <w:szCs w:val="28"/>
            </w:rPr>
            <w:t>Click or tap here to enter text.</w:t>
          </w:r>
        </w:sdtContent>
      </w:sdt>
    </w:p>
    <w:p w14:paraId="6B26A277" w14:textId="77777777" w:rsidR="00737DE1" w:rsidRPr="00BE6779" w:rsidRDefault="00737DE1" w:rsidP="00737DE1">
      <w:pPr>
        <w:jc w:val="both"/>
        <w:rPr>
          <w:rFonts w:ascii="Arial" w:hAnsi="Arial" w:cs="Arial"/>
          <w:sz w:val="28"/>
          <w:szCs w:val="28"/>
        </w:rPr>
      </w:pPr>
      <w:r w:rsidRPr="00BE6779">
        <w:rPr>
          <w:rFonts w:ascii="Arial" w:hAnsi="Arial" w:cs="Arial"/>
          <w:sz w:val="28"/>
          <w:szCs w:val="28"/>
        </w:rPr>
        <w:t xml:space="preserve">cc: </w:t>
      </w:r>
      <w:sdt>
        <w:sdtPr>
          <w:rPr>
            <w:rFonts w:ascii="Arial" w:hAnsi="Arial" w:cs="Arial"/>
            <w:sz w:val="28"/>
            <w:szCs w:val="28"/>
          </w:rPr>
          <w:alias w:val="Management office"/>
          <w:tag w:val="Management office"/>
          <w:id w:val="1160116929"/>
          <w:placeholder>
            <w:docPart w:val="E623A8308DA342A9AFF5A50776557A34"/>
          </w:placeholder>
          <w:showingPlcHdr/>
        </w:sdtPr>
        <w:sdtContent>
          <w:r w:rsidRPr="00BE6779">
            <w:rPr>
              <w:rStyle w:val="PlaceholderText"/>
              <w:rFonts w:ascii="Arial" w:hAnsi="Arial" w:cs="Arial"/>
              <w:color w:val="0000FF"/>
              <w:sz w:val="28"/>
              <w:szCs w:val="28"/>
            </w:rPr>
            <w:t>Click or tap here to enter text.</w:t>
          </w:r>
        </w:sdtContent>
      </w:sdt>
    </w:p>
    <w:p w14:paraId="44338CBE" w14:textId="77777777" w:rsidR="00737DE1" w:rsidRPr="00BE6779" w:rsidRDefault="00000000" w:rsidP="00737DE1">
      <w:pPr>
        <w:jc w:val="both"/>
        <w:rPr>
          <w:rFonts w:ascii="Arial" w:hAnsi="Arial" w:cs="Arial"/>
          <w:color w:val="0000FF"/>
          <w:sz w:val="28"/>
          <w:szCs w:val="28"/>
        </w:rPr>
      </w:pPr>
      <w:sdt>
        <w:sdtPr>
          <w:rPr>
            <w:rFonts w:ascii="Arial" w:hAnsi="Arial" w:cs="Arial"/>
            <w:color w:val="0000FF"/>
            <w:sz w:val="28"/>
            <w:szCs w:val="28"/>
          </w:rPr>
          <w:alias w:val="Owner"/>
          <w:tag w:val="Owner"/>
          <w:id w:val="1098676646"/>
          <w:placeholder>
            <w:docPart w:val="E623A8308DA342A9AFF5A50776557A34"/>
          </w:placeholder>
          <w:showingPlcHdr/>
        </w:sdtPr>
        <w:sdtContent>
          <w:r w:rsidR="00737DE1" w:rsidRPr="00BE6779">
            <w:rPr>
              <w:rStyle w:val="PlaceholderText"/>
              <w:rFonts w:ascii="Arial" w:hAnsi="Arial" w:cs="Arial"/>
              <w:color w:val="0000FF"/>
              <w:sz w:val="28"/>
              <w:szCs w:val="28"/>
            </w:rPr>
            <w:t>Click or tap here to enter text.</w:t>
          </w:r>
        </w:sdtContent>
      </w:sdt>
      <w:r w:rsidR="00737DE1" w:rsidRPr="00BE6779">
        <w:rPr>
          <w:rFonts w:ascii="Arial" w:hAnsi="Arial" w:cs="Arial"/>
          <w:color w:val="0000FF"/>
          <w:sz w:val="28"/>
          <w:szCs w:val="28"/>
        </w:rPr>
        <w:t xml:space="preserve"> </w:t>
      </w:r>
    </w:p>
    <w:p w14:paraId="5A0EAB41" w14:textId="77777777" w:rsidR="003F137F" w:rsidRPr="001C3780" w:rsidRDefault="003F137F" w:rsidP="001C3780">
      <w:pPr>
        <w:jc w:val="both"/>
        <w:rPr>
          <w:rFonts w:ascii="Arial" w:hAnsi="Arial" w:cs="Arial"/>
          <w:sz w:val="28"/>
          <w:szCs w:val="28"/>
        </w:rPr>
      </w:pPr>
    </w:p>
    <w:sectPr w:rsidR="003F137F" w:rsidRPr="001C3780" w:rsidSect="003A6C9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5CAE" w14:textId="77777777" w:rsidR="003A6C98" w:rsidRDefault="003A6C98" w:rsidP="000C61FA">
      <w:pPr>
        <w:spacing w:after="0" w:line="240" w:lineRule="auto"/>
      </w:pPr>
      <w:r>
        <w:separator/>
      </w:r>
    </w:p>
  </w:endnote>
  <w:endnote w:type="continuationSeparator" w:id="0">
    <w:p w14:paraId="53DD23AF" w14:textId="77777777" w:rsidR="003A6C98" w:rsidRDefault="003A6C98" w:rsidP="000C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1D22" w14:textId="77777777" w:rsidR="002D6A9F" w:rsidRDefault="002D6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ADF1" w14:textId="77777777" w:rsidR="002D6A9F" w:rsidRDefault="002D6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9AE6" w14:textId="77777777" w:rsidR="002D6A9F" w:rsidRDefault="002D6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0BA4" w14:textId="77777777" w:rsidR="003A6C98" w:rsidRDefault="003A6C98" w:rsidP="000C61FA">
      <w:pPr>
        <w:spacing w:after="0" w:line="240" w:lineRule="auto"/>
      </w:pPr>
      <w:r>
        <w:separator/>
      </w:r>
    </w:p>
  </w:footnote>
  <w:footnote w:type="continuationSeparator" w:id="0">
    <w:p w14:paraId="6ADA23FE" w14:textId="77777777" w:rsidR="003A6C98" w:rsidRDefault="003A6C98" w:rsidP="000C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41C2" w14:textId="77777777" w:rsidR="002D6A9F" w:rsidRDefault="002D6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F31D" w14:textId="77777777" w:rsidR="002D6A9F" w:rsidRDefault="002D6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9E7" w14:textId="77777777" w:rsidR="002D6A9F" w:rsidRDefault="002D6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E5449"/>
    <w:multiLevelType w:val="hybridMultilevel"/>
    <w:tmpl w:val="C6B0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234DD"/>
    <w:multiLevelType w:val="hybridMultilevel"/>
    <w:tmpl w:val="C51C5F7C"/>
    <w:lvl w:ilvl="0" w:tplc="74DEC890">
      <w:start w:val="1"/>
      <w:numFmt w:val="bullet"/>
      <w:lvlText w:val=""/>
      <w:lvlJc w:val="left"/>
      <w:pPr>
        <w:ind w:left="720" w:hanging="360"/>
      </w:pPr>
      <w:rPr>
        <w:rFonts w:ascii="Symbol" w:hAnsi="Symbol" w:hint="default"/>
      </w:rPr>
    </w:lvl>
    <w:lvl w:ilvl="1" w:tplc="D368F1C2">
      <w:start w:val="1"/>
      <w:numFmt w:val="bullet"/>
      <w:lvlText w:val="o"/>
      <w:lvlJc w:val="left"/>
      <w:pPr>
        <w:ind w:left="1440" w:hanging="360"/>
      </w:pPr>
      <w:rPr>
        <w:rFonts w:ascii="Courier New" w:hAnsi="Courier New" w:hint="default"/>
      </w:rPr>
    </w:lvl>
    <w:lvl w:ilvl="2" w:tplc="677A1C94">
      <w:start w:val="1"/>
      <w:numFmt w:val="bullet"/>
      <w:lvlText w:val=""/>
      <w:lvlJc w:val="left"/>
      <w:pPr>
        <w:ind w:left="2160" w:hanging="360"/>
      </w:pPr>
      <w:rPr>
        <w:rFonts w:ascii="Wingdings" w:hAnsi="Wingdings" w:hint="default"/>
      </w:rPr>
    </w:lvl>
    <w:lvl w:ilvl="3" w:tplc="BFD04860">
      <w:start w:val="1"/>
      <w:numFmt w:val="bullet"/>
      <w:lvlText w:val=""/>
      <w:lvlJc w:val="left"/>
      <w:pPr>
        <w:ind w:left="2880" w:hanging="360"/>
      </w:pPr>
      <w:rPr>
        <w:rFonts w:ascii="Symbol" w:hAnsi="Symbol" w:hint="default"/>
      </w:rPr>
    </w:lvl>
    <w:lvl w:ilvl="4" w:tplc="018CA936">
      <w:start w:val="1"/>
      <w:numFmt w:val="bullet"/>
      <w:lvlText w:val="o"/>
      <w:lvlJc w:val="left"/>
      <w:pPr>
        <w:ind w:left="3600" w:hanging="360"/>
      </w:pPr>
      <w:rPr>
        <w:rFonts w:ascii="Courier New" w:hAnsi="Courier New" w:hint="default"/>
      </w:rPr>
    </w:lvl>
    <w:lvl w:ilvl="5" w:tplc="013EE35A">
      <w:start w:val="1"/>
      <w:numFmt w:val="bullet"/>
      <w:lvlText w:val=""/>
      <w:lvlJc w:val="left"/>
      <w:pPr>
        <w:ind w:left="4320" w:hanging="360"/>
      </w:pPr>
      <w:rPr>
        <w:rFonts w:ascii="Wingdings" w:hAnsi="Wingdings" w:hint="default"/>
      </w:rPr>
    </w:lvl>
    <w:lvl w:ilvl="6" w:tplc="AA48F76A">
      <w:start w:val="1"/>
      <w:numFmt w:val="bullet"/>
      <w:lvlText w:val=""/>
      <w:lvlJc w:val="left"/>
      <w:pPr>
        <w:ind w:left="5040" w:hanging="360"/>
      </w:pPr>
      <w:rPr>
        <w:rFonts w:ascii="Symbol" w:hAnsi="Symbol" w:hint="default"/>
      </w:rPr>
    </w:lvl>
    <w:lvl w:ilvl="7" w:tplc="1FD2291C">
      <w:start w:val="1"/>
      <w:numFmt w:val="bullet"/>
      <w:lvlText w:val="o"/>
      <w:lvlJc w:val="left"/>
      <w:pPr>
        <w:ind w:left="5760" w:hanging="360"/>
      </w:pPr>
      <w:rPr>
        <w:rFonts w:ascii="Courier New" w:hAnsi="Courier New" w:hint="default"/>
      </w:rPr>
    </w:lvl>
    <w:lvl w:ilvl="8" w:tplc="6C0214F8">
      <w:start w:val="1"/>
      <w:numFmt w:val="bullet"/>
      <w:lvlText w:val=""/>
      <w:lvlJc w:val="left"/>
      <w:pPr>
        <w:ind w:left="6480" w:hanging="360"/>
      </w:pPr>
      <w:rPr>
        <w:rFonts w:ascii="Wingdings" w:hAnsi="Wingdings" w:hint="default"/>
      </w:rPr>
    </w:lvl>
  </w:abstractNum>
  <w:num w:numId="1" w16cid:durableId="312805449">
    <w:abstractNumId w:val="1"/>
  </w:num>
  <w:num w:numId="2" w16cid:durableId="47699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S0NDY1MjE3Mza2NDBV0lEKTi0uzszPAykwqgUAEI21jCwAAAA="/>
    <w:docVar w:name="dgnword-docGUID" w:val="{F3A86410-DC3F-4BD3-AEE5-85811956F995}"/>
    <w:docVar w:name="dgnword-eventsink" w:val="2115425105408"/>
  </w:docVars>
  <w:rsids>
    <w:rsidRoot w:val="000C61FA"/>
    <w:rsid w:val="000C61FA"/>
    <w:rsid w:val="001C3780"/>
    <w:rsid w:val="002344C2"/>
    <w:rsid w:val="002D6A9F"/>
    <w:rsid w:val="003A6C98"/>
    <w:rsid w:val="003B39FE"/>
    <w:rsid w:val="003D7955"/>
    <w:rsid w:val="003F137F"/>
    <w:rsid w:val="00490512"/>
    <w:rsid w:val="005317F0"/>
    <w:rsid w:val="0055764A"/>
    <w:rsid w:val="005B457A"/>
    <w:rsid w:val="0064724D"/>
    <w:rsid w:val="00737DE1"/>
    <w:rsid w:val="00A55D24"/>
    <w:rsid w:val="00A743F7"/>
    <w:rsid w:val="00BE5B01"/>
    <w:rsid w:val="00C53E57"/>
    <w:rsid w:val="00C87B45"/>
    <w:rsid w:val="00D14F7A"/>
    <w:rsid w:val="00F61A62"/>
    <w:rsid w:val="00F764CA"/>
    <w:rsid w:val="00FA56FB"/>
    <w:rsid w:val="00FE74F0"/>
    <w:rsid w:val="1186EF95"/>
    <w:rsid w:val="28144269"/>
    <w:rsid w:val="335CE95D"/>
    <w:rsid w:val="3DC92F53"/>
    <w:rsid w:val="4325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330E"/>
  <w15:chartTrackingRefBased/>
  <w15:docId w15:val="{669F396B-649C-4E4C-B485-D4E5510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FA"/>
  </w:style>
  <w:style w:type="paragraph" w:styleId="Footer">
    <w:name w:val="footer"/>
    <w:basedOn w:val="Normal"/>
    <w:link w:val="FooterChar"/>
    <w:uiPriority w:val="99"/>
    <w:unhideWhenUsed/>
    <w:rsid w:val="000C6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FA"/>
  </w:style>
  <w:style w:type="paragraph" w:styleId="FootnoteText">
    <w:name w:val="footnote text"/>
    <w:basedOn w:val="Normal"/>
    <w:link w:val="FootnoteTextChar"/>
    <w:uiPriority w:val="99"/>
    <w:semiHidden/>
    <w:unhideWhenUsed/>
    <w:rsid w:val="000C6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1FA"/>
    <w:rPr>
      <w:sz w:val="20"/>
      <w:szCs w:val="20"/>
    </w:rPr>
  </w:style>
  <w:style w:type="character" w:styleId="FootnoteReference">
    <w:name w:val="footnote reference"/>
    <w:basedOn w:val="DefaultParagraphFont"/>
    <w:uiPriority w:val="99"/>
    <w:semiHidden/>
    <w:unhideWhenUsed/>
    <w:rsid w:val="000C61FA"/>
    <w:rPr>
      <w:vertAlign w:val="superscript"/>
    </w:rPr>
  </w:style>
  <w:style w:type="character" w:styleId="Hyperlink">
    <w:name w:val="Hyperlink"/>
    <w:basedOn w:val="DefaultParagraphFont"/>
    <w:uiPriority w:val="99"/>
    <w:unhideWhenUsed/>
    <w:rsid w:val="000C61FA"/>
    <w:rPr>
      <w:color w:val="0563C1" w:themeColor="hyperlink"/>
      <w:u w:val="single"/>
    </w:rPr>
  </w:style>
  <w:style w:type="paragraph" w:styleId="ListParagraph">
    <w:name w:val="List Paragraph"/>
    <w:basedOn w:val="Normal"/>
    <w:uiPriority w:val="34"/>
    <w:qFormat/>
    <w:rsid w:val="00C53E57"/>
    <w:pPr>
      <w:spacing w:after="0" w:line="240" w:lineRule="auto"/>
      <w:ind w:left="720"/>
      <w:contextualSpacing/>
    </w:pPr>
  </w:style>
  <w:style w:type="paragraph" w:customStyle="1" w:styleId="Default">
    <w:name w:val="Default"/>
    <w:rsid w:val="00C53E5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C87B45"/>
    <w:rPr>
      <w:color w:val="808080"/>
    </w:rPr>
  </w:style>
  <w:style w:type="character" w:styleId="UnresolvedMention">
    <w:name w:val="Unresolved Mention"/>
    <w:basedOn w:val="DefaultParagraphFont"/>
    <w:uiPriority w:val="99"/>
    <w:semiHidden/>
    <w:unhideWhenUsed/>
    <w:rsid w:val="00A55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a.gov/resources/service-animals-faq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da.gov/resources/service-animals-faq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AE804E-7E50-4AEA-AB75-75E300EB5DEF}"/>
      </w:docPartPr>
      <w:docPartBody>
        <w:p w:rsidR="00AD28F6" w:rsidRDefault="007C340D">
          <w:r w:rsidRPr="00BC080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3B9551D-34E8-4EC5-9FF8-CB88DB2549EC}"/>
      </w:docPartPr>
      <w:docPartBody>
        <w:p w:rsidR="00AD28F6" w:rsidRDefault="007C340D">
          <w:r w:rsidRPr="00BC080D">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A202FD22-2A99-45ED-AA2C-3CAB65DE9B92}"/>
      </w:docPartPr>
      <w:docPartBody>
        <w:p w:rsidR="00AD28F6" w:rsidRDefault="007C340D">
          <w:r w:rsidRPr="00BC080D">
            <w:rPr>
              <w:rStyle w:val="PlaceholderText"/>
            </w:rPr>
            <w:t>Choose an item.</w:t>
          </w:r>
        </w:p>
      </w:docPartBody>
    </w:docPart>
    <w:docPart>
      <w:docPartPr>
        <w:name w:val="E623A8308DA342A9AFF5A50776557A34"/>
        <w:category>
          <w:name w:val="General"/>
          <w:gallery w:val="placeholder"/>
        </w:category>
        <w:types>
          <w:type w:val="bbPlcHdr"/>
        </w:types>
        <w:behaviors>
          <w:behavior w:val="content"/>
        </w:behaviors>
        <w:guid w:val="{F4967C6C-81E0-466E-82F9-56BC054028B8}"/>
      </w:docPartPr>
      <w:docPartBody>
        <w:p w:rsidR="006C61D2" w:rsidRDefault="00764D2A" w:rsidP="00764D2A">
          <w:pPr>
            <w:pStyle w:val="E623A8308DA342A9AFF5A50776557A34"/>
          </w:pPr>
          <w:r w:rsidRPr="00A640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0D"/>
    <w:rsid w:val="004038D1"/>
    <w:rsid w:val="00500DCE"/>
    <w:rsid w:val="006C61D2"/>
    <w:rsid w:val="00764D2A"/>
    <w:rsid w:val="007C340D"/>
    <w:rsid w:val="00AD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D2A"/>
    <w:rPr>
      <w:color w:val="808080"/>
    </w:rPr>
  </w:style>
  <w:style w:type="paragraph" w:customStyle="1" w:styleId="E623A8308DA342A9AFF5A50776557A34">
    <w:name w:val="E623A8308DA342A9AFF5A50776557A34"/>
    <w:rsid w:val="00764D2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E3406-610A-4446-B83C-2032CE451434}"/>
</file>

<file path=customXml/itemProps2.xml><?xml version="1.0" encoding="utf-8"?>
<ds:datastoreItem xmlns:ds="http://schemas.openxmlformats.org/officeDocument/2006/customXml" ds:itemID="{CD9721CD-B28D-462D-AFBE-C9120F174CC2}">
  <ds:schemaRefs>
    <ds:schemaRef ds:uri="http://schemas.microsoft.com/sharepoint/v3/contenttype/forms"/>
  </ds:schemaRefs>
</ds:datastoreItem>
</file>

<file path=customXml/itemProps3.xml><?xml version="1.0" encoding="utf-8"?>
<ds:datastoreItem xmlns:ds="http://schemas.openxmlformats.org/officeDocument/2006/customXml" ds:itemID="{9389733C-D70A-45C4-A03D-2790F5A86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5</cp:revision>
  <dcterms:created xsi:type="dcterms:W3CDTF">2024-04-18T16:48:00Z</dcterms:created>
  <dcterms:modified xsi:type="dcterms:W3CDTF">2024-04-18T22:37:00Z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