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5B2C0" w14:textId="0AE708F8" w:rsidR="00557EA4" w:rsidRDefault="00E659AD" w:rsidP="00520B3F">
      <w:pPr>
        <w:jc w:val="center"/>
      </w:pPr>
      <w:r>
        <w:rPr>
          <w:noProof/>
        </w:rPr>
        <w:drawing>
          <wp:inline distT="0" distB="0" distL="0" distR="0" wp14:anchorId="0CCAD8DB" wp14:editId="5D87CD8D">
            <wp:extent cx="2627630" cy="1030605"/>
            <wp:effectExtent l="0" t="0" r="1270" b="0"/>
            <wp:docPr id="878397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7630" cy="1030605"/>
                    </a:xfrm>
                    <a:prstGeom prst="rect">
                      <a:avLst/>
                    </a:prstGeom>
                    <a:noFill/>
                  </pic:spPr>
                </pic:pic>
              </a:graphicData>
            </a:graphic>
          </wp:inline>
        </w:drawing>
      </w:r>
    </w:p>
    <w:p w14:paraId="7D5AECB0" w14:textId="6841E091" w:rsidR="00E659AD" w:rsidRDefault="00E659AD" w:rsidP="00520B3F">
      <w:pPr>
        <w:jc w:val="center"/>
      </w:pPr>
      <w:r>
        <w:t>IDEA/504 Timelines</w:t>
      </w:r>
    </w:p>
    <w:p w14:paraId="7EB7750B" w14:textId="77777777" w:rsidR="00520B3F" w:rsidRDefault="00520B3F" w:rsidP="00520B3F"/>
    <w:tbl>
      <w:tblPr>
        <w:tblStyle w:val="TableGrid"/>
        <w:tblW w:w="5000" w:type="pct"/>
        <w:tblLook w:val="04A0" w:firstRow="1" w:lastRow="0" w:firstColumn="1" w:lastColumn="0" w:noHBand="0" w:noVBand="1"/>
      </w:tblPr>
      <w:tblGrid>
        <w:gridCol w:w="2246"/>
        <w:gridCol w:w="2248"/>
        <w:gridCol w:w="3152"/>
        <w:gridCol w:w="2429"/>
        <w:gridCol w:w="2875"/>
      </w:tblGrid>
      <w:tr w:rsidR="00B31ACD" w14:paraId="31015BDA" w14:textId="77777777" w:rsidTr="001C51A2">
        <w:tc>
          <w:tcPr>
            <w:tcW w:w="867" w:type="pct"/>
            <w:shd w:val="clear" w:color="auto" w:fill="E2EFD9" w:themeFill="accent6" w:themeFillTint="33"/>
            <w:vAlign w:val="center"/>
          </w:tcPr>
          <w:p w14:paraId="5F122C97" w14:textId="77777777" w:rsidR="00B31ACD" w:rsidRPr="00520B3F" w:rsidRDefault="00B31ACD" w:rsidP="00D40A03">
            <w:pPr>
              <w:jc w:val="center"/>
              <w:rPr>
                <w:b/>
              </w:rPr>
            </w:pPr>
            <w:r>
              <w:rPr>
                <w:b/>
              </w:rPr>
              <w:t>Timeline</w:t>
            </w:r>
          </w:p>
        </w:tc>
        <w:tc>
          <w:tcPr>
            <w:tcW w:w="868" w:type="pct"/>
            <w:shd w:val="clear" w:color="auto" w:fill="E2EFD9" w:themeFill="accent6" w:themeFillTint="33"/>
            <w:vAlign w:val="center"/>
          </w:tcPr>
          <w:p w14:paraId="574597F6" w14:textId="77777777" w:rsidR="00B31ACD" w:rsidRPr="00520B3F" w:rsidRDefault="00B31ACD" w:rsidP="00520B3F">
            <w:pPr>
              <w:jc w:val="center"/>
              <w:rPr>
                <w:b/>
              </w:rPr>
            </w:pPr>
            <w:r>
              <w:rPr>
                <w:b/>
              </w:rPr>
              <w:t>Action</w:t>
            </w:r>
          </w:p>
        </w:tc>
        <w:tc>
          <w:tcPr>
            <w:tcW w:w="1217" w:type="pct"/>
            <w:shd w:val="clear" w:color="auto" w:fill="E2EFD9" w:themeFill="accent6" w:themeFillTint="33"/>
            <w:vAlign w:val="center"/>
          </w:tcPr>
          <w:p w14:paraId="23E3A2EB" w14:textId="77777777" w:rsidR="00B31ACD" w:rsidRPr="00520B3F" w:rsidRDefault="00B31ACD" w:rsidP="00520B3F">
            <w:pPr>
              <w:jc w:val="center"/>
              <w:rPr>
                <w:b/>
              </w:rPr>
            </w:pPr>
            <w:r>
              <w:rPr>
                <w:b/>
              </w:rPr>
              <w:t>Time Counted From</w:t>
            </w:r>
          </w:p>
        </w:tc>
        <w:tc>
          <w:tcPr>
            <w:tcW w:w="938" w:type="pct"/>
            <w:shd w:val="clear" w:color="auto" w:fill="E2EFD9" w:themeFill="accent6" w:themeFillTint="33"/>
            <w:vAlign w:val="center"/>
          </w:tcPr>
          <w:p w14:paraId="6EEDD015" w14:textId="77777777" w:rsidR="00B31ACD" w:rsidRPr="00520B3F" w:rsidRDefault="00B31ACD" w:rsidP="00520B3F">
            <w:pPr>
              <w:jc w:val="center"/>
              <w:rPr>
                <w:b/>
              </w:rPr>
            </w:pPr>
            <w:r>
              <w:rPr>
                <w:b/>
              </w:rPr>
              <w:t>Exceptions</w:t>
            </w:r>
          </w:p>
        </w:tc>
        <w:tc>
          <w:tcPr>
            <w:tcW w:w="1110" w:type="pct"/>
            <w:shd w:val="clear" w:color="auto" w:fill="E2EFD9" w:themeFill="accent6" w:themeFillTint="33"/>
            <w:vAlign w:val="center"/>
          </w:tcPr>
          <w:p w14:paraId="3454B71B" w14:textId="77777777" w:rsidR="00B31ACD" w:rsidRDefault="00B31ACD" w:rsidP="004F037B">
            <w:pPr>
              <w:jc w:val="center"/>
              <w:rPr>
                <w:b/>
              </w:rPr>
            </w:pPr>
            <w:r>
              <w:rPr>
                <w:b/>
              </w:rPr>
              <w:t>Legal Authority</w:t>
            </w:r>
          </w:p>
        </w:tc>
      </w:tr>
      <w:tr w:rsidR="00B31ACD" w14:paraId="080F88C5" w14:textId="77777777" w:rsidTr="001C51A2">
        <w:tc>
          <w:tcPr>
            <w:tcW w:w="867" w:type="pct"/>
            <w:vAlign w:val="center"/>
          </w:tcPr>
          <w:p w14:paraId="1C2D9A42" w14:textId="77777777" w:rsidR="00B31ACD" w:rsidRPr="00D40A03" w:rsidRDefault="00B31ACD" w:rsidP="00D40A03">
            <w:pPr>
              <w:rPr>
                <w:b/>
              </w:rPr>
            </w:pPr>
            <w:r w:rsidRPr="00D40A03">
              <w:rPr>
                <w:b/>
              </w:rPr>
              <w:t>45 calendar days</w:t>
            </w:r>
          </w:p>
        </w:tc>
        <w:tc>
          <w:tcPr>
            <w:tcW w:w="868" w:type="pct"/>
            <w:vAlign w:val="center"/>
          </w:tcPr>
          <w:p w14:paraId="1C838436" w14:textId="77777777" w:rsidR="00B31ACD" w:rsidRDefault="00B31ACD" w:rsidP="00F67C6B">
            <w:r>
              <w:t>Screening for possible disabilities (Child Find)</w:t>
            </w:r>
          </w:p>
        </w:tc>
        <w:tc>
          <w:tcPr>
            <w:tcW w:w="1217" w:type="pct"/>
            <w:vAlign w:val="center"/>
          </w:tcPr>
          <w:p w14:paraId="7C73C1DD" w14:textId="77777777" w:rsidR="00B31ACD" w:rsidRDefault="00B31ACD" w:rsidP="00D40A03">
            <w:pPr>
              <w:pStyle w:val="ListParagraph"/>
              <w:ind w:left="360"/>
            </w:pPr>
          </w:p>
          <w:p w14:paraId="7FE1289A" w14:textId="77777777" w:rsidR="00B31ACD" w:rsidRDefault="00B31ACD" w:rsidP="00F67C6B">
            <w:pPr>
              <w:pStyle w:val="ListParagraph"/>
              <w:numPr>
                <w:ilvl w:val="0"/>
                <w:numId w:val="1"/>
              </w:numPr>
            </w:pPr>
            <w:r>
              <w:t>Entry of each preschool or kindergarten student and any student enrolling without appropriate records of screening, evaluation, and progress in school; or</w:t>
            </w:r>
          </w:p>
          <w:p w14:paraId="7BDF9CBE" w14:textId="77777777" w:rsidR="00B31ACD" w:rsidRDefault="00B31ACD" w:rsidP="00F67C6B">
            <w:pPr>
              <w:pStyle w:val="ListParagraph"/>
              <w:numPr>
                <w:ilvl w:val="0"/>
                <w:numId w:val="1"/>
              </w:numPr>
            </w:pPr>
            <w:r>
              <w:t>Notification to the public education agency by parents of concerns regarding developmental or educational progress by their child aged 3 years through 21 years.</w:t>
            </w:r>
          </w:p>
          <w:p w14:paraId="4C8D2E84" w14:textId="77777777" w:rsidR="00B31ACD" w:rsidRDefault="00B31ACD" w:rsidP="00D40A03">
            <w:pPr>
              <w:pStyle w:val="ListParagraph"/>
              <w:ind w:left="360"/>
            </w:pPr>
          </w:p>
        </w:tc>
        <w:tc>
          <w:tcPr>
            <w:tcW w:w="938" w:type="pct"/>
            <w:vAlign w:val="center"/>
          </w:tcPr>
          <w:p w14:paraId="5F3E63C7" w14:textId="77777777" w:rsidR="00B31ACD" w:rsidRDefault="00B31ACD" w:rsidP="00520B3F"/>
        </w:tc>
        <w:tc>
          <w:tcPr>
            <w:tcW w:w="1110" w:type="pct"/>
            <w:vAlign w:val="center"/>
          </w:tcPr>
          <w:p w14:paraId="7786C3B9" w14:textId="77777777" w:rsidR="00B31ACD" w:rsidRDefault="00B31ACD" w:rsidP="004F037B">
            <w:pPr>
              <w:jc w:val="center"/>
            </w:pPr>
            <w:r w:rsidRPr="00B31ACD">
              <w:t>A.A.C. R7-2-401(D)(5)</w:t>
            </w:r>
          </w:p>
        </w:tc>
      </w:tr>
      <w:tr w:rsidR="00BF4374" w14:paraId="17BE7A42" w14:textId="77777777" w:rsidTr="001C51A2">
        <w:tc>
          <w:tcPr>
            <w:tcW w:w="867" w:type="pct"/>
            <w:shd w:val="clear" w:color="auto" w:fill="E7E6E6" w:themeFill="background2"/>
            <w:vAlign w:val="center"/>
          </w:tcPr>
          <w:p w14:paraId="56FEAB15" w14:textId="77777777" w:rsidR="00B31ACD" w:rsidRPr="00D40A03" w:rsidRDefault="00B31ACD" w:rsidP="00D40A03">
            <w:pPr>
              <w:rPr>
                <w:b/>
              </w:rPr>
            </w:pPr>
            <w:r w:rsidRPr="00D40A03">
              <w:rPr>
                <w:b/>
              </w:rPr>
              <w:t>10 school days</w:t>
            </w:r>
          </w:p>
        </w:tc>
        <w:tc>
          <w:tcPr>
            <w:tcW w:w="868" w:type="pct"/>
            <w:shd w:val="clear" w:color="auto" w:fill="E7E6E6" w:themeFill="background2"/>
            <w:vAlign w:val="center"/>
          </w:tcPr>
          <w:p w14:paraId="02F62358" w14:textId="77777777" w:rsidR="00B31ACD" w:rsidRDefault="00B31ACD" w:rsidP="00520B3F"/>
          <w:p w14:paraId="37B68ADC" w14:textId="77777777" w:rsidR="00B31ACD" w:rsidRDefault="00B31ACD" w:rsidP="00520B3F">
            <w:r>
              <w:t xml:space="preserve">Public education agency shall notify the parents of the student of the concern and inform them of the public education agency procedures to </w:t>
            </w:r>
            <w:r>
              <w:lastRenderedPageBreak/>
              <w:t>follow-up on the student’s needs</w:t>
            </w:r>
          </w:p>
          <w:p w14:paraId="70F9F3FC" w14:textId="77777777" w:rsidR="00B31ACD" w:rsidRDefault="00B31ACD" w:rsidP="00520B3F"/>
        </w:tc>
        <w:tc>
          <w:tcPr>
            <w:tcW w:w="1217" w:type="pct"/>
            <w:shd w:val="clear" w:color="auto" w:fill="E7E6E6" w:themeFill="background2"/>
            <w:vAlign w:val="center"/>
          </w:tcPr>
          <w:p w14:paraId="40120821" w14:textId="77777777" w:rsidR="00B31ACD" w:rsidRDefault="00B31ACD" w:rsidP="00520B3F">
            <w:r>
              <w:lastRenderedPageBreak/>
              <w:t>Screening identifies a student concern</w:t>
            </w:r>
          </w:p>
        </w:tc>
        <w:tc>
          <w:tcPr>
            <w:tcW w:w="938" w:type="pct"/>
            <w:shd w:val="clear" w:color="auto" w:fill="E7E6E6" w:themeFill="background2"/>
            <w:vAlign w:val="center"/>
          </w:tcPr>
          <w:p w14:paraId="0ECE9DF4" w14:textId="77777777" w:rsidR="00B31ACD" w:rsidRDefault="00B31ACD" w:rsidP="00520B3F"/>
        </w:tc>
        <w:tc>
          <w:tcPr>
            <w:tcW w:w="1110" w:type="pct"/>
            <w:shd w:val="clear" w:color="auto" w:fill="E7E6E6" w:themeFill="background2"/>
            <w:vAlign w:val="center"/>
          </w:tcPr>
          <w:p w14:paraId="278E4374" w14:textId="77777777" w:rsidR="00B31ACD" w:rsidRDefault="00B31ACD" w:rsidP="004F037B">
            <w:pPr>
              <w:jc w:val="center"/>
            </w:pPr>
            <w:r w:rsidRPr="00B31ACD">
              <w:t>A.A.C. R7-2-401(D)(8)</w:t>
            </w:r>
          </w:p>
        </w:tc>
      </w:tr>
      <w:tr w:rsidR="00B31ACD" w14:paraId="7A830E3C" w14:textId="77777777" w:rsidTr="001C51A2">
        <w:tc>
          <w:tcPr>
            <w:tcW w:w="867" w:type="pct"/>
            <w:vAlign w:val="center"/>
          </w:tcPr>
          <w:p w14:paraId="0164E38A" w14:textId="77777777" w:rsidR="00B31ACD" w:rsidRPr="00D40A03" w:rsidRDefault="00B31ACD" w:rsidP="00D40A03">
            <w:pPr>
              <w:rPr>
                <w:b/>
              </w:rPr>
            </w:pPr>
            <w:r w:rsidRPr="00D40A03">
              <w:rPr>
                <w:b/>
              </w:rPr>
              <w:t>60 calendar days</w:t>
            </w:r>
          </w:p>
        </w:tc>
        <w:tc>
          <w:tcPr>
            <w:tcW w:w="868" w:type="pct"/>
            <w:vAlign w:val="center"/>
          </w:tcPr>
          <w:p w14:paraId="1679C308" w14:textId="77777777" w:rsidR="00B31ACD" w:rsidRDefault="00B31ACD" w:rsidP="00520B3F">
            <w:r>
              <w:t>Initial evaluation or re-evaluation completed and MET team makes eligibility determination</w:t>
            </w:r>
          </w:p>
        </w:tc>
        <w:tc>
          <w:tcPr>
            <w:tcW w:w="1217" w:type="pct"/>
            <w:vAlign w:val="center"/>
          </w:tcPr>
          <w:p w14:paraId="583BCF97" w14:textId="77777777" w:rsidR="00B31ACD" w:rsidRDefault="00B31ACD" w:rsidP="00520B3F">
            <w:r>
              <w:t>PEA’s receipt of parent’s informed written consent</w:t>
            </w:r>
          </w:p>
        </w:tc>
        <w:tc>
          <w:tcPr>
            <w:tcW w:w="938" w:type="pct"/>
            <w:vAlign w:val="center"/>
          </w:tcPr>
          <w:p w14:paraId="0997B65A" w14:textId="77777777" w:rsidR="00B31ACD" w:rsidRDefault="00B31ACD" w:rsidP="004F037B">
            <w:r>
              <w:t xml:space="preserve">May be extended for an additional 30 days, provided it is in the best interest of the child, and the parent and PEA agree in writing to such an extension. Any extension cannot exceed the timelines for a re-evaluation </w:t>
            </w:r>
            <w:r w:rsidR="004F037B">
              <w:t>beyond</w:t>
            </w:r>
            <w:r>
              <w:t xml:space="preserve"> three years of the previous evaluation</w:t>
            </w:r>
          </w:p>
        </w:tc>
        <w:tc>
          <w:tcPr>
            <w:tcW w:w="1110" w:type="pct"/>
            <w:vAlign w:val="center"/>
          </w:tcPr>
          <w:p w14:paraId="1C3B5870" w14:textId="77777777" w:rsidR="00B31ACD" w:rsidRDefault="004F037B" w:rsidP="004F037B">
            <w:pPr>
              <w:jc w:val="center"/>
            </w:pPr>
            <w:r w:rsidRPr="004F037B">
              <w:t>34 C.F.R. § 300.301(c)(1)</w:t>
            </w:r>
            <w:r>
              <w:t>;</w:t>
            </w:r>
          </w:p>
          <w:p w14:paraId="2BBC8DF1" w14:textId="77777777" w:rsidR="004F037B" w:rsidRDefault="004F037B" w:rsidP="004F037B">
            <w:pPr>
              <w:jc w:val="center"/>
            </w:pPr>
          </w:p>
          <w:p w14:paraId="7B9E1470" w14:textId="77777777" w:rsidR="004F037B" w:rsidRDefault="004F037B" w:rsidP="004F037B">
            <w:pPr>
              <w:jc w:val="center"/>
            </w:pPr>
            <w:r w:rsidRPr="004F037B">
              <w:t>A.A.C. R7-2-401(E)(3)</w:t>
            </w:r>
          </w:p>
        </w:tc>
      </w:tr>
      <w:tr w:rsidR="00B31ACD" w14:paraId="2146D541" w14:textId="77777777" w:rsidTr="001C51A2">
        <w:tc>
          <w:tcPr>
            <w:tcW w:w="867" w:type="pct"/>
            <w:shd w:val="clear" w:color="auto" w:fill="E7E6E6" w:themeFill="background2"/>
            <w:vAlign w:val="center"/>
          </w:tcPr>
          <w:p w14:paraId="10C61640" w14:textId="77777777" w:rsidR="00B31ACD" w:rsidRPr="00D40772" w:rsidRDefault="00B31ACD" w:rsidP="00D40A03">
            <w:pPr>
              <w:rPr>
                <w:b/>
              </w:rPr>
            </w:pPr>
            <w:r w:rsidRPr="00D40772">
              <w:rPr>
                <w:b/>
              </w:rPr>
              <w:t>30</w:t>
            </w:r>
            <w:r>
              <w:rPr>
                <w:b/>
              </w:rPr>
              <w:t xml:space="preserve"> calendar days</w:t>
            </w:r>
          </w:p>
        </w:tc>
        <w:tc>
          <w:tcPr>
            <w:tcW w:w="868" w:type="pct"/>
            <w:shd w:val="clear" w:color="auto" w:fill="E7E6E6" w:themeFill="background2"/>
            <w:vAlign w:val="center"/>
          </w:tcPr>
          <w:p w14:paraId="1A5051DF" w14:textId="77777777" w:rsidR="00B31ACD" w:rsidRDefault="00B31ACD" w:rsidP="00F67C6B">
            <w:r>
              <w:t xml:space="preserve">IEP is developed and implemented </w:t>
            </w:r>
          </w:p>
        </w:tc>
        <w:tc>
          <w:tcPr>
            <w:tcW w:w="1217" w:type="pct"/>
            <w:shd w:val="clear" w:color="auto" w:fill="E7E6E6" w:themeFill="background2"/>
            <w:vAlign w:val="center"/>
          </w:tcPr>
          <w:p w14:paraId="16618978" w14:textId="77777777" w:rsidR="00B31ACD" w:rsidRDefault="00B31ACD" w:rsidP="00D40772">
            <w:r>
              <w:t>From time o</w:t>
            </w:r>
            <w:r w:rsidR="004F037B">
              <w:t>f MET eligibility determination.</w:t>
            </w:r>
          </w:p>
          <w:p w14:paraId="36E36F93" w14:textId="77777777" w:rsidR="004F037B" w:rsidRDefault="004F037B" w:rsidP="00D40772"/>
          <w:p w14:paraId="4E3C2FF8" w14:textId="77777777" w:rsidR="004F037B" w:rsidRPr="004F037B" w:rsidRDefault="004F037B" w:rsidP="00D40772">
            <w:pPr>
              <w:rPr>
                <w:i/>
                <w:sz w:val="18"/>
                <w:szCs w:val="18"/>
              </w:rPr>
            </w:pPr>
            <w:r w:rsidRPr="004F037B">
              <w:rPr>
                <w:i/>
                <w:sz w:val="18"/>
                <w:szCs w:val="18"/>
              </w:rPr>
              <w:t>Please note that this 30-day timeline applies only to the development of the first IEP after eligibility is determined; schools do not have 30 days past the annual review date of successive IEPs to develop and implement subsequent IEPs or transfer IEPs.</w:t>
            </w:r>
          </w:p>
        </w:tc>
        <w:tc>
          <w:tcPr>
            <w:tcW w:w="938" w:type="pct"/>
            <w:shd w:val="clear" w:color="auto" w:fill="E7E6E6" w:themeFill="background2"/>
            <w:vAlign w:val="center"/>
          </w:tcPr>
          <w:p w14:paraId="76092790" w14:textId="77777777" w:rsidR="00B31ACD" w:rsidRDefault="00B31ACD" w:rsidP="00520B3F"/>
        </w:tc>
        <w:tc>
          <w:tcPr>
            <w:tcW w:w="1110" w:type="pct"/>
            <w:shd w:val="clear" w:color="auto" w:fill="E7E6E6" w:themeFill="background2"/>
            <w:vAlign w:val="center"/>
          </w:tcPr>
          <w:p w14:paraId="583FC3C9" w14:textId="77777777" w:rsidR="00B31ACD" w:rsidRDefault="004F037B" w:rsidP="004F037B">
            <w:pPr>
              <w:jc w:val="center"/>
            </w:pPr>
            <w:r w:rsidRPr="004F037B">
              <w:t>34 C.F.R. § 300.323(c)(1)</w:t>
            </w:r>
          </w:p>
        </w:tc>
      </w:tr>
      <w:tr w:rsidR="00B31ACD" w14:paraId="5C91BF3A" w14:textId="77777777" w:rsidTr="001C51A2">
        <w:tc>
          <w:tcPr>
            <w:tcW w:w="867" w:type="pct"/>
            <w:shd w:val="clear" w:color="auto" w:fill="auto"/>
            <w:vAlign w:val="center"/>
          </w:tcPr>
          <w:p w14:paraId="356FF349" w14:textId="77777777" w:rsidR="00B31ACD" w:rsidRDefault="00B31ACD" w:rsidP="00D40A03"/>
          <w:p w14:paraId="22D4F4BD" w14:textId="77777777" w:rsidR="00B31ACD" w:rsidRDefault="00B31ACD" w:rsidP="00D40A03">
            <w:pPr>
              <w:rPr>
                <w:b/>
              </w:rPr>
            </w:pPr>
            <w:r w:rsidRPr="00D40A03">
              <w:t xml:space="preserve">Reasonable amount of time not to exceed </w:t>
            </w:r>
            <w:r w:rsidRPr="00D40A03">
              <w:rPr>
                <w:b/>
              </w:rPr>
              <w:t>15 school days</w:t>
            </w:r>
          </w:p>
          <w:p w14:paraId="5EBDB97F" w14:textId="77777777" w:rsidR="00B31ACD" w:rsidRPr="00D40A03" w:rsidRDefault="00B31ACD" w:rsidP="00D40A03"/>
        </w:tc>
        <w:tc>
          <w:tcPr>
            <w:tcW w:w="868" w:type="pct"/>
            <w:shd w:val="clear" w:color="auto" w:fill="auto"/>
            <w:vAlign w:val="center"/>
          </w:tcPr>
          <w:p w14:paraId="2F8217E0" w14:textId="77777777" w:rsidR="00B31ACD" w:rsidRDefault="00B31ACD" w:rsidP="00F67C6B">
            <w:r>
              <w:t>Either begin the evaluation or provide prior written notice refusing to conduct the requested evaluation</w:t>
            </w:r>
          </w:p>
        </w:tc>
        <w:tc>
          <w:tcPr>
            <w:tcW w:w="1217" w:type="pct"/>
            <w:shd w:val="clear" w:color="auto" w:fill="auto"/>
            <w:vAlign w:val="center"/>
          </w:tcPr>
          <w:p w14:paraId="2CDAC4F1" w14:textId="77777777" w:rsidR="00B31ACD" w:rsidRDefault="00B31ACD" w:rsidP="00F67C6B">
            <w:r>
              <w:t>PEA’s receipt of parent’s written request for an evaluation</w:t>
            </w:r>
          </w:p>
        </w:tc>
        <w:tc>
          <w:tcPr>
            <w:tcW w:w="938" w:type="pct"/>
            <w:shd w:val="clear" w:color="auto" w:fill="auto"/>
            <w:vAlign w:val="center"/>
          </w:tcPr>
          <w:p w14:paraId="5FC21FD9" w14:textId="77777777" w:rsidR="00B31ACD" w:rsidRDefault="00B31ACD" w:rsidP="00520B3F"/>
        </w:tc>
        <w:tc>
          <w:tcPr>
            <w:tcW w:w="1110" w:type="pct"/>
            <w:vAlign w:val="center"/>
          </w:tcPr>
          <w:p w14:paraId="354CC0EB" w14:textId="77777777" w:rsidR="00B31ACD" w:rsidRDefault="004F037B" w:rsidP="004F037B">
            <w:pPr>
              <w:jc w:val="center"/>
            </w:pPr>
            <w:r w:rsidRPr="004F037B">
              <w:t>A.A.C. R7-2-401(E)(</w:t>
            </w:r>
            <w:r>
              <w:t>4</w:t>
            </w:r>
            <w:r w:rsidRPr="004F037B">
              <w:t>)</w:t>
            </w:r>
          </w:p>
        </w:tc>
      </w:tr>
      <w:tr w:rsidR="00B31ACD" w14:paraId="0E863201" w14:textId="77777777" w:rsidTr="001C51A2">
        <w:tc>
          <w:tcPr>
            <w:tcW w:w="867" w:type="pct"/>
            <w:shd w:val="clear" w:color="auto" w:fill="E7E6E6" w:themeFill="background2"/>
            <w:vAlign w:val="center"/>
          </w:tcPr>
          <w:p w14:paraId="5E61F553" w14:textId="77777777" w:rsidR="00B31ACD" w:rsidRPr="00D40A03" w:rsidRDefault="00B31ACD" w:rsidP="00D40A03">
            <w:pPr>
              <w:rPr>
                <w:b/>
              </w:rPr>
            </w:pPr>
            <w:r w:rsidRPr="00D40A03">
              <w:rPr>
                <w:b/>
              </w:rPr>
              <w:t xml:space="preserve">Annually </w:t>
            </w:r>
            <w:r w:rsidRPr="00D40A03">
              <w:t>(or more frequently)</w:t>
            </w:r>
          </w:p>
        </w:tc>
        <w:tc>
          <w:tcPr>
            <w:tcW w:w="868" w:type="pct"/>
            <w:shd w:val="clear" w:color="auto" w:fill="E7E6E6" w:themeFill="background2"/>
            <w:vAlign w:val="center"/>
          </w:tcPr>
          <w:p w14:paraId="6F0D6883" w14:textId="77777777" w:rsidR="00B31ACD" w:rsidRDefault="00B31ACD" w:rsidP="00F67C6B"/>
          <w:p w14:paraId="706F50FD" w14:textId="77777777" w:rsidR="00B31ACD" w:rsidRDefault="00B31ACD" w:rsidP="00F67C6B">
            <w:r>
              <w:t xml:space="preserve">Meeting of the IEP team to review and revise the student’s </w:t>
            </w:r>
            <w:r>
              <w:lastRenderedPageBreak/>
              <w:t>IEP (more frequently if the student’s progress substantially deviates from what was anticipated)</w:t>
            </w:r>
          </w:p>
          <w:p w14:paraId="7982ED39" w14:textId="77777777" w:rsidR="00B31ACD" w:rsidRDefault="00B31ACD" w:rsidP="00F67C6B"/>
        </w:tc>
        <w:tc>
          <w:tcPr>
            <w:tcW w:w="1217" w:type="pct"/>
            <w:shd w:val="clear" w:color="auto" w:fill="E7E6E6" w:themeFill="background2"/>
            <w:vAlign w:val="center"/>
          </w:tcPr>
          <w:p w14:paraId="2ED39287" w14:textId="77777777" w:rsidR="00B31ACD" w:rsidRDefault="00B31ACD" w:rsidP="00520B3F">
            <w:r>
              <w:lastRenderedPageBreak/>
              <w:t>Date of the last IEP meeting</w:t>
            </w:r>
          </w:p>
        </w:tc>
        <w:tc>
          <w:tcPr>
            <w:tcW w:w="938" w:type="pct"/>
            <w:shd w:val="clear" w:color="auto" w:fill="E7E6E6" w:themeFill="background2"/>
            <w:vAlign w:val="center"/>
          </w:tcPr>
          <w:p w14:paraId="05A91166" w14:textId="77777777" w:rsidR="00B31ACD" w:rsidRDefault="00B31ACD" w:rsidP="00520B3F"/>
        </w:tc>
        <w:tc>
          <w:tcPr>
            <w:tcW w:w="1110" w:type="pct"/>
            <w:shd w:val="clear" w:color="auto" w:fill="E7E6E6" w:themeFill="background2"/>
            <w:vAlign w:val="center"/>
          </w:tcPr>
          <w:p w14:paraId="420D2D0D" w14:textId="77777777" w:rsidR="00B31ACD" w:rsidRDefault="004F037B" w:rsidP="004F037B">
            <w:pPr>
              <w:jc w:val="center"/>
            </w:pPr>
            <w:r w:rsidRPr="004F037B">
              <w:t>34 C.F.R § 300.324(b)</w:t>
            </w:r>
          </w:p>
        </w:tc>
      </w:tr>
      <w:tr w:rsidR="00B31ACD" w14:paraId="0B66E66E" w14:textId="77777777" w:rsidTr="001C51A2">
        <w:tc>
          <w:tcPr>
            <w:tcW w:w="867" w:type="pct"/>
            <w:shd w:val="clear" w:color="auto" w:fill="auto"/>
            <w:vAlign w:val="center"/>
          </w:tcPr>
          <w:p w14:paraId="4D390184" w14:textId="77777777" w:rsidR="00B31ACD" w:rsidRDefault="00B31ACD" w:rsidP="00D40A03"/>
          <w:p w14:paraId="1EFC04CA" w14:textId="77777777" w:rsidR="00B31ACD" w:rsidRDefault="00B31ACD" w:rsidP="00D40A03">
            <w:r>
              <w:t xml:space="preserve">Every </w:t>
            </w:r>
            <w:r w:rsidRPr="00D40A03">
              <w:rPr>
                <w:b/>
              </w:rPr>
              <w:t>three years</w:t>
            </w:r>
            <w:r>
              <w:t xml:space="preserve"> or more frequently but not more than once per year</w:t>
            </w:r>
          </w:p>
          <w:p w14:paraId="45507912" w14:textId="77777777" w:rsidR="00B31ACD" w:rsidRDefault="00B31ACD" w:rsidP="00D40A03"/>
        </w:tc>
        <w:tc>
          <w:tcPr>
            <w:tcW w:w="868" w:type="pct"/>
            <w:shd w:val="clear" w:color="auto" w:fill="auto"/>
            <w:vAlign w:val="center"/>
          </w:tcPr>
          <w:p w14:paraId="3B419084" w14:textId="77777777" w:rsidR="00B31ACD" w:rsidRDefault="00B31ACD" w:rsidP="00FF71D1">
            <w:r>
              <w:t>Reevaluation</w:t>
            </w:r>
          </w:p>
        </w:tc>
        <w:tc>
          <w:tcPr>
            <w:tcW w:w="1217" w:type="pct"/>
            <w:shd w:val="clear" w:color="auto" w:fill="auto"/>
            <w:vAlign w:val="center"/>
          </w:tcPr>
          <w:p w14:paraId="5D51DDC9" w14:textId="77777777" w:rsidR="00B31ACD" w:rsidRDefault="00B31ACD" w:rsidP="00D40A03">
            <w:r>
              <w:t>Date of last three-year assessment and IEP</w:t>
            </w:r>
          </w:p>
        </w:tc>
        <w:tc>
          <w:tcPr>
            <w:tcW w:w="938" w:type="pct"/>
            <w:shd w:val="clear" w:color="auto" w:fill="auto"/>
            <w:vAlign w:val="center"/>
          </w:tcPr>
          <w:p w14:paraId="28B64CF3" w14:textId="77777777" w:rsidR="00B31ACD" w:rsidRDefault="00B31ACD" w:rsidP="00520B3F">
            <w:r>
              <w:t>U</w:t>
            </w:r>
            <w:r w:rsidRPr="00D40A03">
              <w:t>nless the parent and the school agree that such a reevaluation is unnecessary.</w:t>
            </w:r>
          </w:p>
        </w:tc>
        <w:tc>
          <w:tcPr>
            <w:tcW w:w="1110" w:type="pct"/>
            <w:vAlign w:val="center"/>
          </w:tcPr>
          <w:p w14:paraId="74B2D373" w14:textId="77777777" w:rsidR="00B31ACD" w:rsidRPr="004F037B" w:rsidRDefault="004F037B" w:rsidP="004F037B">
            <w:pPr>
              <w:jc w:val="center"/>
              <w:rPr>
                <w:rFonts w:ascii="Calibri" w:hAnsi="Calibri" w:cs="Calibri"/>
              </w:rPr>
            </w:pPr>
            <w:r w:rsidRPr="004F037B">
              <w:rPr>
                <w:rFonts w:ascii="Calibri" w:hAnsi="Calibri" w:cs="Calibri"/>
              </w:rPr>
              <w:t xml:space="preserve">34 C.F.R § </w:t>
            </w:r>
            <w:r w:rsidRPr="004F037B">
              <w:rPr>
                <w:rFonts w:ascii="Calibri" w:hAnsi="Calibri" w:cs="Calibri"/>
                <w:color w:val="343C47"/>
                <w:shd w:val="clear" w:color="auto" w:fill="FFFFFF"/>
              </w:rPr>
              <w:t>300.303(b)</w:t>
            </w:r>
          </w:p>
        </w:tc>
      </w:tr>
      <w:tr w:rsidR="00B31ACD" w14:paraId="518DADCB" w14:textId="77777777" w:rsidTr="001C51A2">
        <w:tc>
          <w:tcPr>
            <w:tcW w:w="867" w:type="pct"/>
            <w:shd w:val="clear" w:color="auto" w:fill="E7E6E6" w:themeFill="background2"/>
            <w:vAlign w:val="center"/>
          </w:tcPr>
          <w:p w14:paraId="05A2C2FC" w14:textId="77777777" w:rsidR="00B31ACD" w:rsidRDefault="00B31ACD" w:rsidP="00D40A03">
            <w:pPr>
              <w:rPr>
                <w:b/>
              </w:rPr>
            </w:pPr>
          </w:p>
          <w:p w14:paraId="501EF9CA" w14:textId="77777777" w:rsidR="00B31ACD" w:rsidRDefault="00B31ACD" w:rsidP="00D40A03">
            <w:r w:rsidRPr="00D40A03">
              <w:rPr>
                <w:b/>
              </w:rPr>
              <w:t>Early enough</w:t>
            </w:r>
            <w:r w:rsidRPr="00FF71D1">
              <w:t xml:space="preserve"> to ensure </w:t>
            </w:r>
            <w:r>
              <w:t>parents</w:t>
            </w:r>
            <w:r w:rsidRPr="00FF71D1">
              <w:t xml:space="preserve"> are afforded</w:t>
            </w:r>
            <w:r>
              <w:t xml:space="preserve"> the opportunity to participate</w:t>
            </w:r>
          </w:p>
          <w:p w14:paraId="4F6195B8" w14:textId="77777777" w:rsidR="00B31ACD" w:rsidRDefault="00B31ACD" w:rsidP="00D40A03"/>
        </w:tc>
        <w:tc>
          <w:tcPr>
            <w:tcW w:w="868" w:type="pct"/>
            <w:shd w:val="clear" w:color="auto" w:fill="E7E6E6" w:themeFill="background2"/>
            <w:vAlign w:val="center"/>
          </w:tcPr>
          <w:p w14:paraId="6DB99DCA" w14:textId="77777777" w:rsidR="00B31ACD" w:rsidRDefault="00B31ACD" w:rsidP="00A07932">
            <w:r>
              <w:t>S</w:t>
            </w:r>
            <w:r w:rsidRPr="00FF71D1">
              <w:t>chools notify parents that an IEP meeting will take place</w:t>
            </w:r>
          </w:p>
        </w:tc>
        <w:tc>
          <w:tcPr>
            <w:tcW w:w="1217" w:type="pct"/>
            <w:shd w:val="clear" w:color="auto" w:fill="E7E6E6" w:themeFill="background2"/>
            <w:vAlign w:val="center"/>
          </w:tcPr>
          <w:p w14:paraId="04E74872" w14:textId="77777777" w:rsidR="00B31ACD" w:rsidRDefault="00B31ACD" w:rsidP="00A07932"/>
        </w:tc>
        <w:tc>
          <w:tcPr>
            <w:tcW w:w="938" w:type="pct"/>
            <w:shd w:val="clear" w:color="auto" w:fill="E7E6E6" w:themeFill="background2"/>
            <w:vAlign w:val="center"/>
          </w:tcPr>
          <w:p w14:paraId="37D2ECD8" w14:textId="77777777" w:rsidR="00B31ACD" w:rsidRDefault="00B31ACD" w:rsidP="00A07932"/>
        </w:tc>
        <w:tc>
          <w:tcPr>
            <w:tcW w:w="1110" w:type="pct"/>
            <w:shd w:val="clear" w:color="auto" w:fill="E7E6E6" w:themeFill="background2"/>
            <w:vAlign w:val="center"/>
          </w:tcPr>
          <w:p w14:paraId="31D4F37C" w14:textId="77777777" w:rsidR="00B31ACD" w:rsidRDefault="00BF4374" w:rsidP="004F037B">
            <w:pPr>
              <w:jc w:val="center"/>
            </w:pPr>
            <w:r>
              <w:t xml:space="preserve">34 C.F.R. </w:t>
            </w:r>
            <w:r w:rsidRPr="00BF4374">
              <w:t>§</w:t>
            </w:r>
            <w:r>
              <w:t xml:space="preserve"> </w:t>
            </w:r>
            <w:r w:rsidRPr="00BF4374">
              <w:t>300.322(a)(1)</w:t>
            </w:r>
          </w:p>
        </w:tc>
      </w:tr>
      <w:tr w:rsidR="00B31ACD" w14:paraId="3B5BBE05" w14:textId="77777777" w:rsidTr="001C51A2">
        <w:tc>
          <w:tcPr>
            <w:tcW w:w="867" w:type="pct"/>
            <w:shd w:val="clear" w:color="auto" w:fill="auto"/>
            <w:vAlign w:val="center"/>
          </w:tcPr>
          <w:p w14:paraId="4351251B" w14:textId="77777777" w:rsidR="00B31ACD" w:rsidRPr="00D40A03" w:rsidRDefault="00B31ACD" w:rsidP="00D40A03">
            <w:pPr>
              <w:rPr>
                <w:b/>
              </w:rPr>
            </w:pPr>
            <w:r w:rsidRPr="00D40A03">
              <w:rPr>
                <w:b/>
              </w:rPr>
              <w:t>45 school days</w:t>
            </w:r>
          </w:p>
        </w:tc>
        <w:tc>
          <w:tcPr>
            <w:tcW w:w="868" w:type="pct"/>
            <w:shd w:val="clear" w:color="auto" w:fill="auto"/>
            <w:vAlign w:val="center"/>
          </w:tcPr>
          <w:p w14:paraId="1B0946EA" w14:textId="77777777" w:rsidR="00B31ACD" w:rsidRDefault="00B31ACD" w:rsidP="00A07932">
            <w:r>
              <w:t>Review IEP meeting</w:t>
            </w:r>
          </w:p>
        </w:tc>
        <w:tc>
          <w:tcPr>
            <w:tcW w:w="1217" w:type="pct"/>
            <w:shd w:val="clear" w:color="auto" w:fill="auto"/>
            <w:vAlign w:val="center"/>
          </w:tcPr>
          <w:p w14:paraId="4DF24B22" w14:textId="77777777" w:rsidR="00B31ACD" w:rsidRDefault="00B31ACD" w:rsidP="00A07932"/>
          <w:p w14:paraId="6339462B" w14:textId="77777777" w:rsidR="00B31ACD" w:rsidRDefault="00B31ACD" w:rsidP="00A07932">
            <w:r>
              <w:t>PEA receives the parent’s request for an IEP review meeting request</w:t>
            </w:r>
          </w:p>
          <w:p w14:paraId="2745D243" w14:textId="77777777" w:rsidR="00B31ACD" w:rsidRDefault="00B31ACD" w:rsidP="00A07932"/>
        </w:tc>
        <w:tc>
          <w:tcPr>
            <w:tcW w:w="938" w:type="pct"/>
            <w:shd w:val="clear" w:color="auto" w:fill="auto"/>
            <w:vAlign w:val="center"/>
          </w:tcPr>
          <w:p w14:paraId="3CA02ABC" w14:textId="77777777" w:rsidR="00B31ACD" w:rsidRDefault="00B31ACD" w:rsidP="00A07932"/>
        </w:tc>
        <w:tc>
          <w:tcPr>
            <w:tcW w:w="1110" w:type="pct"/>
            <w:vAlign w:val="center"/>
          </w:tcPr>
          <w:p w14:paraId="67943254" w14:textId="77777777" w:rsidR="00B31ACD" w:rsidRDefault="00BF4374" w:rsidP="004F037B">
            <w:pPr>
              <w:jc w:val="center"/>
            </w:pPr>
            <w:r w:rsidRPr="00BF4374">
              <w:t>A.A.C. R7-2-401(G)(7)</w:t>
            </w:r>
          </w:p>
        </w:tc>
      </w:tr>
      <w:tr w:rsidR="00B31ACD" w14:paraId="0841E76D" w14:textId="77777777" w:rsidTr="001C51A2">
        <w:tc>
          <w:tcPr>
            <w:tcW w:w="867" w:type="pct"/>
            <w:shd w:val="clear" w:color="auto" w:fill="E7E6E6" w:themeFill="background2"/>
            <w:vAlign w:val="center"/>
          </w:tcPr>
          <w:p w14:paraId="4995A92C" w14:textId="77777777" w:rsidR="00B31ACD" w:rsidRPr="00D40A03" w:rsidRDefault="00B31ACD" w:rsidP="00D40A03">
            <w:pPr>
              <w:rPr>
                <w:b/>
              </w:rPr>
            </w:pPr>
            <w:r w:rsidRPr="00D40A03">
              <w:rPr>
                <w:b/>
              </w:rPr>
              <w:t>“Within a reasonable time”</w:t>
            </w:r>
          </w:p>
        </w:tc>
        <w:tc>
          <w:tcPr>
            <w:tcW w:w="868" w:type="pct"/>
            <w:shd w:val="clear" w:color="auto" w:fill="E7E6E6" w:themeFill="background2"/>
            <w:vAlign w:val="center"/>
          </w:tcPr>
          <w:p w14:paraId="0D87D148" w14:textId="77777777" w:rsidR="00B31ACD" w:rsidRDefault="00B31ACD" w:rsidP="00A07932">
            <w:r>
              <w:t>P</w:t>
            </w:r>
            <w:r w:rsidRPr="00FF71D1">
              <w:t>rior written notice shall be provided to the parents of a child</w:t>
            </w:r>
          </w:p>
        </w:tc>
        <w:tc>
          <w:tcPr>
            <w:tcW w:w="1217" w:type="pct"/>
            <w:shd w:val="clear" w:color="auto" w:fill="E7E6E6" w:themeFill="background2"/>
            <w:vAlign w:val="center"/>
          </w:tcPr>
          <w:p w14:paraId="2E7477E5" w14:textId="77777777" w:rsidR="00B31ACD" w:rsidRDefault="00B31ACD" w:rsidP="00A07932"/>
          <w:p w14:paraId="452863A2" w14:textId="77777777" w:rsidR="00B31ACD" w:rsidRDefault="00B31ACD" w:rsidP="00A07932">
            <w:r w:rsidRPr="00FF71D1">
              <w:t>PEA proposes to initiate or change, or refuses to initiate or change, the identification, evaluation, educational placement or the provision of FAPE to the child</w:t>
            </w:r>
          </w:p>
          <w:p w14:paraId="398316B8" w14:textId="77777777" w:rsidR="00B31ACD" w:rsidRDefault="00B31ACD" w:rsidP="00A07932"/>
        </w:tc>
        <w:tc>
          <w:tcPr>
            <w:tcW w:w="938" w:type="pct"/>
            <w:shd w:val="clear" w:color="auto" w:fill="E7E6E6" w:themeFill="background2"/>
            <w:vAlign w:val="center"/>
          </w:tcPr>
          <w:p w14:paraId="750B54A7" w14:textId="77777777" w:rsidR="00B31ACD" w:rsidRDefault="00B31ACD" w:rsidP="00A07932"/>
        </w:tc>
        <w:tc>
          <w:tcPr>
            <w:tcW w:w="1110" w:type="pct"/>
            <w:shd w:val="clear" w:color="auto" w:fill="E7E6E6" w:themeFill="background2"/>
            <w:vAlign w:val="center"/>
          </w:tcPr>
          <w:p w14:paraId="4EBB7344" w14:textId="77777777" w:rsidR="00B31ACD" w:rsidRDefault="00BF4374" w:rsidP="004F037B">
            <w:pPr>
              <w:jc w:val="center"/>
            </w:pPr>
            <w:r w:rsidRPr="00BF4374">
              <w:t>34 C.F.R. § 300.503(a)(1)-(2)</w:t>
            </w:r>
          </w:p>
        </w:tc>
      </w:tr>
      <w:tr w:rsidR="00B31ACD" w14:paraId="64881E10" w14:textId="77777777" w:rsidTr="001C51A2">
        <w:tc>
          <w:tcPr>
            <w:tcW w:w="867" w:type="pct"/>
            <w:shd w:val="clear" w:color="auto" w:fill="auto"/>
            <w:vAlign w:val="center"/>
          </w:tcPr>
          <w:p w14:paraId="6357ED67" w14:textId="77777777" w:rsidR="00B31ACD" w:rsidRDefault="00B31ACD" w:rsidP="00D40A03"/>
          <w:p w14:paraId="3F3B7A16" w14:textId="77777777" w:rsidR="00B31ACD" w:rsidRDefault="00B31ACD" w:rsidP="00D40A03">
            <w:r>
              <w:t xml:space="preserve">At least </w:t>
            </w:r>
            <w:r w:rsidRPr="00D40A03">
              <w:rPr>
                <w:b/>
              </w:rPr>
              <w:t>annually</w:t>
            </w:r>
            <w:r>
              <w:t>, and:</w:t>
            </w:r>
          </w:p>
          <w:p w14:paraId="67C76685" w14:textId="77777777" w:rsidR="00B31ACD" w:rsidRDefault="00B31ACD" w:rsidP="00D40A03">
            <w:pPr>
              <w:pStyle w:val="ListParagraph"/>
              <w:numPr>
                <w:ilvl w:val="0"/>
                <w:numId w:val="2"/>
              </w:numPr>
            </w:pPr>
            <w:r>
              <w:lastRenderedPageBreak/>
              <w:t>U</w:t>
            </w:r>
            <w:r w:rsidRPr="00A07932">
              <w:t xml:space="preserve">pon </w:t>
            </w:r>
            <w:r w:rsidRPr="00D40A03">
              <w:rPr>
                <w:b/>
              </w:rPr>
              <w:t>initial referral</w:t>
            </w:r>
            <w:r w:rsidRPr="00A07932">
              <w:t xml:space="preserve"> or </w:t>
            </w:r>
            <w:r w:rsidRPr="00D40A03">
              <w:rPr>
                <w:b/>
              </w:rPr>
              <w:t>parent request for an evaluation</w:t>
            </w:r>
          </w:p>
          <w:p w14:paraId="67B4F5EC" w14:textId="77777777" w:rsidR="00B31ACD" w:rsidRDefault="00B31ACD" w:rsidP="00D40A03">
            <w:pPr>
              <w:pStyle w:val="ListParagraph"/>
              <w:numPr>
                <w:ilvl w:val="0"/>
                <w:numId w:val="2"/>
              </w:numPr>
            </w:pPr>
            <w:r>
              <w:t xml:space="preserve">Upon receipt of the </w:t>
            </w:r>
            <w:r w:rsidRPr="00D40A03">
              <w:rPr>
                <w:b/>
              </w:rPr>
              <w:t>first state complaint or the first due process complaint</w:t>
            </w:r>
            <w:r>
              <w:t xml:space="preserve"> in a school year</w:t>
            </w:r>
          </w:p>
          <w:p w14:paraId="244B575F" w14:textId="77777777" w:rsidR="00B31ACD" w:rsidRDefault="00B31ACD" w:rsidP="00D40A03">
            <w:pPr>
              <w:pStyle w:val="ListParagraph"/>
              <w:numPr>
                <w:ilvl w:val="0"/>
                <w:numId w:val="2"/>
              </w:numPr>
            </w:pPr>
            <w:r>
              <w:t>A</w:t>
            </w:r>
            <w:r w:rsidRPr="00A07932">
              <w:t xml:space="preserve">t the time of </w:t>
            </w:r>
            <w:r>
              <w:t xml:space="preserve">some </w:t>
            </w:r>
            <w:r w:rsidRPr="00D40A03">
              <w:rPr>
                <w:b/>
              </w:rPr>
              <w:t>disciplinary actions</w:t>
            </w:r>
          </w:p>
          <w:p w14:paraId="79639BEB" w14:textId="77777777" w:rsidR="00B31ACD" w:rsidRDefault="00B31ACD" w:rsidP="00D40A03">
            <w:pPr>
              <w:pStyle w:val="ListParagraph"/>
              <w:numPr>
                <w:ilvl w:val="0"/>
                <w:numId w:val="2"/>
              </w:numPr>
            </w:pPr>
            <w:r w:rsidRPr="00D40A03">
              <w:rPr>
                <w:b/>
              </w:rPr>
              <w:t>Upon request</w:t>
            </w:r>
            <w:r>
              <w:t xml:space="preserve"> by a parent</w:t>
            </w:r>
          </w:p>
          <w:p w14:paraId="7D61805A" w14:textId="77777777" w:rsidR="00B31ACD" w:rsidRDefault="00B31ACD" w:rsidP="00D40A03">
            <w:pPr>
              <w:pStyle w:val="ListParagraph"/>
              <w:ind w:left="360"/>
            </w:pPr>
          </w:p>
        </w:tc>
        <w:tc>
          <w:tcPr>
            <w:tcW w:w="868" w:type="pct"/>
            <w:shd w:val="clear" w:color="auto" w:fill="auto"/>
            <w:vAlign w:val="center"/>
          </w:tcPr>
          <w:p w14:paraId="2085F1CF" w14:textId="2B54B64D" w:rsidR="00B31ACD" w:rsidRDefault="00B31ACD" w:rsidP="00A07932">
            <w:r>
              <w:lastRenderedPageBreak/>
              <w:t>S</w:t>
            </w:r>
            <w:r w:rsidRPr="00A07932">
              <w:t xml:space="preserve">chool </w:t>
            </w:r>
            <w:r w:rsidR="00E659AD" w:rsidRPr="00A07932">
              <w:t>provide</w:t>
            </w:r>
            <w:r w:rsidR="00E659AD">
              <w:t xml:space="preserve"> </w:t>
            </w:r>
            <w:r w:rsidRPr="00A07932">
              <w:t xml:space="preserve">parents with </w:t>
            </w:r>
            <w:r>
              <w:lastRenderedPageBreak/>
              <w:t>procedural safeguards notice</w:t>
            </w:r>
          </w:p>
        </w:tc>
        <w:tc>
          <w:tcPr>
            <w:tcW w:w="1217" w:type="pct"/>
            <w:shd w:val="clear" w:color="auto" w:fill="auto"/>
            <w:vAlign w:val="center"/>
          </w:tcPr>
          <w:p w14:paraId="4D9A6871" w14:textId="77777777" w:rsidR="00B31ACD" w:rsidRDefault="00B31ACD" w:rsidP="00A07932"/>
        </w:tc>
        <w:tc>
          <w:tcPr>
            <w:tcW w:w="938" w:type="pct"/>
            <w:shd w:val="clear" w:color="auto" w:fill="auto"/>
            <w:vAlign w:val="center"/>
          </w:tcPr>
          <w:p w14:paraId="37A59383" w14:textId="77777777" w:rsidR="00B31ACD" w:rsidRDefault="00B31ACD" w:rsidP="00A07932"/>
        </w:tc>
        <w:tc>
          <w:tcPr>
            <w:tcW w:w="1110" w:type="pct"/>
            <w:vAlign w:val="center"/>
          </w:tcPr>
          <w:p w14:paraId="6618E7F9" w14:textId="77777777" w:rsidR="00B31ACD" w:rsidRDefault="00BF4374" w:rsidP="004F037B">
            <w:pPr>
              <w:jc w:val="center"/>
            </w:pPr>
            <w:r w:rsidRPr="00BF4374">
              <w:t>34 C.F.R. § 300.504</w:t>
            </w:r>
          </w:p>
        </w:tc>
      </w:tr>
      <w:tr w:rsidR="00B31ACD" w14:paraId="088A51C0" w14:textId="77777777" w:rsidTr="001C51A2">
        <w:tc>
          <w:tcPr>
            <w:tcW w:w="867" w:type="pct"/>
            <w:shd w:val="clear" w:color="auto" w:fill="E7E6E6" w:themeFill="background2"/>
            <w:vAlign w:val="center"/>
          </w:tcPr>
          <w:p w14:paraId="54F62726" w14:textId="77777777" w:rsidR="00B31ACD" w:rsidRDefault="00B31ACD" w:rsidP="00D40A03"/>
          <w:p w14:paraId="0248C6C2" w14:textId="77777777" w:rsidR="00B31ACD" w:rsidRDefault="00B31ACD" w:rsidP="00D40A03">
            <w:pPr>
              <w:rPr>
                <w:b/>
              </w:rPr>
            </w:pPr>
            <w:r>
              <w:t xml:space="preserve">Less than </w:t>
            </w:r>
            <w:r w:rsidRPr="00D40A03">
              <w:rPr>
                <w:b/>
              </w:rPr>
              <w:t>two years</w:t>
            </w:r>
          </w:p>
          <w:p w14:paraId="3CFDADCF" w14:textId="77777777" w:rsidR="00B31ACD" w:rsidRDefault="00B31ACD" w:rsidP="00D40A03"/>
        </w:tc>
        <w:tc>
          <w:tcPr>
            <w:tcW w:w="868" w:type="pct"/>
            <w:shd w:val="clear" w:color="auto" w:fill="E7E6E6" w:themeFill="background2"/>
            <w:vAlign w:val="center"/>
          </w:tcPr>
          <w:p w14:paraId="6B01B3EB" w14:textId="77777777" w:rsidR="00B31ACD" w:rsidRDefault="00B31ACD" w:rsidP="00A07932">
            <w:r>
              <w:t>File due process complaint</w:t>
            </w:r>
          </w:p>
        </w:tc>
        <w:tc>
          <w:tcPr>
            <w:tcW w:w="1217" w:type="pct"/>
            <w:shd w:val="clear" w:color="auto" w:fill="E7E6E6" w:themeFill="background2"/>
            <w:vAlign w:val="center"/>
          </w:tcPr>
          <w:p w14:paraId="3B60276C" w14:textId="77777777" w:rsidR="00B31ACD" w:rsidRDefault="00B31ACD" w:rsidP="00A07932">
            <w:r>
              <w:t>Time of violation</w:t>
            </w:r>
          </w:p>
        </w:tc>
        <w:tc>
          <w:tcPr>
            <w:tcW w:w="938" w:type="pct"/>
            <w:shd w:val="clear" w:color="auto" w:fill="E7E6E6" w:themeFill="background2"/>
            <w:vAlign w:val="center"/>
          </w:tcPr>
          <w:p w14:paraId="72D5272F" w14:textId="77777777" w:rsidR="00B31ACD" w:rsidRDefault="00B31ACD" w:rsidP="00A07932"/>
        </w:tc>
        <w:tc>
          <w:tcPr>
            <w:tcW w:w="1110" w:type="pct"/>
            <w:shd w:val="clear" w:color="auto" w:fill="E7E6E6" w:themeFill="background2"/>
            <w:vAlign w:val="center"/>
          </w:tcPr>
          <w:p w14:paraId="764D24D1" w14:textId="77777777" w:rsidR="00B31ACD" w:rsidRDefault="00BF4374" w:rsidP="004F037B">
            <w:pPr>
              <w:jc w:val="center"/>
            </w:pPr>
            <w:r w:rsidRPr="00BF4374">
              <w:t>20 U.S.C. §</w:t>
            </w:r>
            <w:r>
              <w:t xml:space="preserve"> </w:t>
            </w:r>
            <w:r w:rsidRPr="00BF4374">
              <w:t>1415(f)(3)(c)</w:t>
            </w:r>
            <w:r>
              <w:t>;</w:t>
            </w:r>
          </w:p>
        </w:tc>
      </w:tr>
      <w:tr w:rsidR="00B31ACD" w14:paraId="7C155B17" w14:textId="77777777" w:rsidTr="001C51A2">
        <w:tc>
          <w:tcPr>
            <w:tcW w:w="867" w:type="pct"/>
            <w:shd w:val="clear" w:color="auto" w:fill="auto"/>
            <w:vAlign w:val="center"/>
          </w:tcPr>
          <w:p w14:paraId="3D6EF4EA" w14:textId="77777777" w:rsidR="00B31ACD" w:rsidRPr="00D40A03" w:rsidRDefault="00B31ACD" w:rsidP="00D40A03">
            <w:pPr>
              <w:rPr>
                <w:b/>
              </w:rPr>
            </w:pPr>
            <w:r w:rsidRPr="00D40A03">
              <w:rPr>
                <w:b/>
              </w:rPr>
              <w:t>Within 45 calendar days</w:t>
            </w:r>
          </w:p>
        </w:tc>
        <w:tc>
          <w:tcPr>
            <w:tcW w:w="868" w:type="pct"/>
            <w:shd w:val="clear" w:color="auto" w:fill="auto"/>
            <w:vAlign w:val="center"/>
          </w:tcPr>
          <w:p w14:paraId="64B67764" w14:textId="77777777" w:rsidR="00B31ACD" w:rsidRDefault="00B31ACD" w:rsidP="00A07932">
            <w:r>
              <w:t xml:space="preserve">Hearing officer’s findings of fact and decision shall be delivered </w:t>
            </w:r>
          </w:p>
        </w:tc>
        <w:tc>
          <w:tcPr>
            <w:tcW w:w="1217" w:type="pct"/>
            <w:shd w:val="clear" w:color="auto" w:fill="auto"/>
            <w:vAlign w:val="center"/>
          </w:tcPr>
          <w:p w14:paraId="470F34FC" w14:textId="77777777" w:rsidR="00B31ACD" w:rsidRDefault="00B31ACD" w:rsidP="00A07932">
            <w:r>
              <w:t>Notification to the hearing officer that the parties have been unable to resolve the matter</w:t>
            </w:r>
          </w:p>
        </w:tc>
        <w:tc>
          <w:tcPr>
            <w:tcW w:w="938" w:type="pct"/>
            <w:shd w:val="clear" w:color="auto" w:fill="auto"/>
            <w:vAlign w:val="center"/>
          </w:tcPr>
          <w:p w14:paraId="2D70727A" w14:textId="77777777" w:rsidR="00B31ACD" w:rsidRDefault="00B31ACD" w:rsidP="00A07932"/>
          <w:p w14:paraId="4DE47E5F" w14:textId="77777777" w:rsidR="00B31ACD" w:rsidRDefault="00B31ACD" w:rsidP="00A07932">
            <w:r>
              <w:t>A hearing officer may grant specific extensions of time beyond the 45 calendar days for good cause shown at the request of either party.</w:t>
            </w:r>
          </w:p>
          <w:p w14:paraId="51D0EA5D" w14:textId="77777777" w:rsidR="00B31ACD" w:rsidRDefault="00B31ACD" w:rsidP="00A07932"/>
        </w:tc>
        <w:tc>
          <w:tcPr>
            <w:tcW w:w="1110" w:type="pct"/>
            <w:vAlign w:val="center"/>
          </w:tcPr>
          <w:p w14:paraId="56BBC22F" w14:textId="77777777" w:rsidR="00B31ACD" w:rsidRDefault="00BF4374" w:rsidP="004F037B">
            <w:pPr>
              <w:jc w:val="center"/>
            </w:pPr>
            <w:r>
              <w:t>34 C.F.R.</w:t>
            </w:r>
            <w:r w:rsidRPr="00BF4374">
              <w:t xml:space="preserve"> §</w:t>
            </w:r>
            <w:r>
              <w:t xml:space="preserve"> </w:t>
            </w:r>
            <w:r w:rsidRPr="00BF4374">
              <w:t>300.507</w:t>
            </w:r>
            <w:r>
              <w:t>(a)(2)</w:t>
            </w:r>
          </w:p>
        </w:tc>
      </w:tr>
      <w:tr w:rsidR="00B31ACD" w14:paraId="2B8FEB35" w14:textId="77777777" w:rsidTr="001C51A2">
        <w:tc>
          <w:tcPr>
            <w:tcW w:w="867" w:type="pct"/>
            <w:shd w:val="clear" w:color="auto" w:fill="E7E6E6" w:themeFill="background2"/>
            <w:vAlign w:val="center"/>
          </w:tcPr>
          <w:p w14:paraId="5A546F46" w14:textId="77777777" w:rsidR="00B31ACD" w:rsidRDefault="00B31ACD" w:rsidP="00D40A03">
            <w:pPr>
              <w:rPr>
                <w:b/>
              </w:rPr>
            </w:pPr>
          </w:p>
          <w:p w14:paraId="743DBC40" w14:textId="77777777" w:rsidR="00B31ACD" w:rsidRDefault="00B31ACD" w:rsidP="00D40A03">
            <w:pPr>
              <w:rPr>
                <w:b/>
              </w:rPr>
            </w:pPr>
            <w:r w:rsidRPr="00D40A03">
              <w:rPr>
                <w:b/>
              </w:rPr>
              <w:t>35 calendar days</w:t>
            </w:r>
          </w:p>
          <w:p w14:paraId="7F6BCBB2" w14:textId="77777777" w:rsidR="00B31ACD" w:rsidRPr="00D40A03" w:rsidRDefault="00B31ACD" w:rsidP="00D40A03">
            <w:pPr>
              <w:rPr>
                <w:b/>
              </w:rPr>
            </w:pPr>
          </w:p>
        </w:tc>
        <w:tc>
          <w:tcPr>
            <w:tcW w:w="868" w:type="pct"/>
            <w:shd w:val="clear" w:color="auto" w:fill="E7E6E6" w:themeFill="background2"/>
            <w:vAlign w:val="center"/>
          </w:tcPr>
          <w:p w14:paraId="657273F5" w14:textId="77777777" w:rsidR="00B31ACD" w:rsidRDefault="00B31ACD" w:rsidP="00A07932"/>
          <w:p w14:paraId="72D7676D" w14:textId="77777777" w:rsidR="00B31ACD" w:rsidRDefault="00B31ACD" w:rsidP="00A07932"/>
          <w:p w14:paraId="4CA7B03E" w14:textId="77777777" w:rsidR="00B31ACD" w:rsidRDefault="00B31ACD" w:rsidP="00A07932">
            <w:r>
              <w:t>Appeal a final administrative decision to a court</w:t>
            </w:r>
          </w:p>
          <w:p w14:paraId="582106E0" w14:textId="77777777" w:rsidR="00B31ACD" w:rsidRDefault="00B31ACD" w:rsidP="00A07932"/>
        </w:tc>
        <w:tc>
          <w:tcPr>
            <w:tcW w:w="1217" w:type="pct"/>
            <w:shd w:val="clear" w:color="auto" w:fill="E7E6E6" w:themeFill="background2"/>
            <w:vAlign w:val="center"/>
          </w:tcPr>
          <w:p w14:paraId="06119CBD" w14:textId="77777777" w:rsidR="00B31ACD" w:rsidRDefault="00B31ACD" w:rsidP="00A07932">
            <w:r>
              <w:t>R</w:t>
            </w:r>
            <w:r w:rsidRPr="00E378B1">
              <w:t>eceipt of the decision</w:t>
            </w:r>
          </w:p>
        </w:tc>
        <w:tc>
          <w:tcPr>
            <w:tcW w:w="938" w:type="pct"/>
            <w:shd w:val="clear" w:color="auto" w:fill="E7E6E6" w:themeFill="background2"/>
            <w:vAlign w:val="center"/>
          </w:tcPr>
          <w:p w14:paraId="6CB6BE92" w14:textId="77777777" w:rsidR="00B31ACD" w:rsidRDefault="00B31ACD" w:rsidP="00A07932"/>
        </w:tc>
        <w:tc>
          <w:tcPr>
            <w:tcW w:w="1110" w:type="pct"/>
            <w:shd w:val="clear" w:color="auto" w:fill="E7E6E6" w:themeFill="background2"/>
            <w:vAlign w:val="center"/>
          </w:tcPr>
          <w:p w14:paraId="39B9E4EB" w14:textId="77777777" w:rsidR="00B31ACD" w:rsidRDefault="005F69F2" w:rsidP="004F037B">
            <w:pPr>
              <w:jc w:val="center"/>
            </w:pPr>
            <w:r>
              <w:t>A.R.S. § 12- 904(A)</w:t>
            </w:r>
          </w:p>
        </w:tc>
      </w:tr>
      <w:tr w:rsidR="00B31ACD" w14:paraId="54DA405F" w14:textId="77777777" w:rsidTr="001C51A2">
        <w:tc>
          <w:tcPr>
            <w:tcW w:w="867" w:type="pct"/>
            <w:shd w:val="clear" w:color="auto" w:fill="auto"/>
            <w:vAlign w:val="center"/>
          </w:tcPr>
          <w:p w14:paraId="4B3F0FF1" w14:textId="77777777" w:rsidR="00B31ACD" w:rsidRDefault="00B31ACD" w:rsidP="00D40A03">
            <w:pPr>
              <w:rPr>
                <w:b/>
              </w:rPr>
            </w:pPr>
          </w:p>
          <w:p w14:paraId="4D537986" w14:textId="77777777" w:rsidR="00B31ACD" w:rsidRPr="00D40A03" w:rsidRDefault="00B31ACD" w:rsidP="00D40A03">
            <w:pPr>
              <w:rPr>
                <w:b/>
              </w:rPr>
            </w:pPr>
            <w:r w:rsidRPr="00D40A03">
              <w:rPr>
                <w:b/>
              </w:rPr>
              <w:lastRenderedPageBreak/>
              <w:t>20 school days</w:t>
            </w:r>
          </w:p>
        </w:tc>
        <w:tc>
          <w:tcPr>
            <w:tcW w:w="868" w:type="pct"/>
            <w:shd w:val="clear" w:color="auto" w:fill="auto"/>
            <w:vAlign w:val="center"/>
          </w:tcPr>
          <w:p w14:paraId="1669F5E1" w14:textId="77777777" w:rsidR="00B31ACD" w:rsidRDefault="00B31ACD" w:rsidP="00A07932"/>
          <w:p w14:paraId="7A0A774D" w14:textId="77777777" w:rsidR="00B31ACD" w:rsidRDefault="00B31ACD" w:rsidP="00A07932">
            <w:r>
              <w:lastRenderedPageBreak/>
              <w:t>Expedited hearing shall be conducted</w:t>
            </w:r>
          </w:p>
          <w:p w14:paraId="7E8FB882" w14:textId="77777777" w:rsidR="00B31ACD" w:rsidRDefault="00B31ACD" w:rsidP="00A07932"/>
        </w:tc>
        <w:tc>
          <w:tcPr>
            <w:tcW w:w="1217" w:type="pct"/>
            <w:shd w:val="clear" w:color="auto" w:fill="auto"/>
            <w:vAlign w:val="center"/>
          </w:tcPr>
          <w:p w14:paraId="6AA65706" w14:textId="77777777" w:rsidR="00B31ACD" w:rsidRDefault="00B31ACD" w:rsidP="00A07932">
            <w:r>
              <w:lastRenderedPageBreak/>
              <w:t>Date the hearing is requested</w:t>
            </w:r>
          </w:p>
        </w:tc>
        <w:tc>
          <w:tcPr>
            <w:tcW w:w="938" w:type="pct"/>
            <w:shd w:val="clear" w:color="auto" w:fill="auto"/>
            <w:vAlign w:val="center"/>
          </w:tcPr>
          <w:p w14:paraId="0A656E81" w14:textId="77777777" w:rsidR="00B31ACD" w:rsidRDefault="00B31ACD" w:rsidP="00A07932"/>
        </w:tc>
        <w:tc>
          <w:tcPr>
            <w:tcW w:w="1110" w:type="pct"/>
            <w:vAlign w:val="center"/>
          </w:tcPr>
          <w:p w14:paraId="704CFEDC" w14:textId="77777777" w:rsidR="00B31ACD" w:rsidRDefault="005F69F2" w:rsidP="004F037B">
            <w:pPr>
              <w:jc w:val="center"/>
            </w:pPr>
            <w:r>
              <w:t xml:space="preserve">34 C.F.R. § </w:t>
            </w:r>
            <w:r w:rsidRPr="005F69F2">
              <w:t>300.532</w:t>
            </w:r>
            <w:r>
              <w:t>(c)(2)</w:t>
            </w:r>
          </w:p>
        </w:tc>
      </w:tr>
      <w:tr w:rsidR="00B31ACD" w14:paraId="233A7A15" w14:textId="77777777" w:rsidTr="001C51A2">
        <w:tc>
          <w:tcPr>
            <w:tcW w:w="867" w:type="pct"/>
            <w:shd w:val="clear" w:color="auto" w:fill="E7E6E6" w:themeFill="background2"/>
            <w:vAlign w:val="center"/>
          </w:tcPr>
          <w:p w14:paraId="53E45F7E" w14:textId="77777777" w:rsidR="00B31ACD" w:rsidRPr="00D40A03" w:rsidRDefault="00B31ACD" w:rsidP="00D40A03">
            <w:pPr>
              <w:rPr>
                <w:b/>
              </w:rPr>
            </w:pPr>
            <w:r w:rsidRPr="00D40A03">
              <w:rPr>
                <w:b/>
              </w:rPr>
              <w:t>10 school days</w:t>
            </w:r>
          </w:p>
        </w:tc>
        <w:tc>
          <w:tcPr>
            <w:tcW w:w="868" w:type="pct"/>
            <w:shd w:val="clear" w:color="auto" w:fill="E7E6E6" w:themeFill="background2"/>
            <w:vAlign w:val="center"/>
          </w:tcPr>
          <w:p w14:paraId="7B303C96" w14:textId="77777777" w:rsidR="00B31ACD" w:rsidRDefault="00B31ACD" w:rsidP="00A07932"/>
          <w:p w14:paraId="04914234" w14:textId="77777777" w:rsidR="00B31ACD" w:rsidRDefault="00B31ACD" w:rsidP="00B07759">
            <w:r>
              <w:t>Expedited hearing determination made</w:t>
            </w:r>
          </w:p>
        </w:tc>
        <w:tc>
          <w:tcPr>
            <w:tcW w:w="1217" w:type="pct"/>
            <w:shd w:val="clear" w:color="auto" w:fill="E7E6E6" w:themeFill="background2"/>
            <w:vAlign w:val="center"/>
          </w:tcPr>
          <w:p w14:paraId="53A5742B" w14:textId="77777777" w:rsidR="00B31ACD" w:rsidRDefault="00B31ACD" w:rsidP="00A07932">
            <w:r>
              <w:t>After hearing concludes</w:t>
            </w:r>
          </w:p>
        </w:tc>
        <w:tc>
          <w:tcPr>
            <w:tcW w:w="938" w:type="pct"/>
            <w:shd w:val="clear" w:color="auto" w:fill="E7E6E6" w:themeFill="background2"/>
            <w:vAlign w:val="center"/>
          </w:tcPr>
          <w:p w14:paraId="0D668711" w14:textId="77777777" w:rsidR="00B31ACD" w:rsidRDefault="00B31ACD" w:rsidP="00A07932"/>
        </w:tc>
        <w:tc>
          <w:tcPr>
            <w:tcW w:w="1110" w:type="pct"/>
            <w:shd w:val="clear" w:color="auto" w:fill="E7E6E6" w:themeFill="background2"/>
            <w:vAlign w:val="center"/>
          </w:tcPr>
          <w:p w14:paraId="31584ACD" w14:textId="77777777" w:rsidR="00B31ACD" w:rsidRDefault="005F69F2" w:rsidP="004F037B">
            <w:pPr>
              <w:jc w:val="center"/>
            </w:pPr>
            <w:r>
              <w:t xml:space="preserve">34 C.F.R. § </w:t>
            </w:r>
            <w:r w:rsidRPr="005F69F2">
              <w:t>300.532</w:t>
            </w:r>
            <w:r>
              <w:t>(c)(2)</w:t>
            </w:r>
          </w:p>
        </w:tc>
      </w:tr>
      <w:tr w:rsidR="00B31ACD" w14:paraId="5BB2892B" w14:textId="77777777" w:rsidTr="001C51A2">
        <w:tc>
          <w:tcPr>
            <w:tcW w:w="867" w:type="pct"/>
            <w:shd w:val="clear" w:color="auto" w:fill="auto"/>
            <w:vAlign w:val="center"/>
          </w:tcPr>
          <w:p w14:paraId="156A48C7" w14:textId="77777777" w:rsidR="00B31ACD" w:rsidRPr="00D40A03" w:rsidRDefault="00B31ACD" w:rsidP="00D40A03">
            <w:pPr>
              <w:rPr>
                <w:b/>
              </w:rPr>
            </w:pPr>
            <w:r w:rsidRPr="00D40A03">
              <w:rPr>
                <w:b/>
              </w:rPr>
              <w:t>60 days</w:t>
            </w:r>
          </w:p>
        </w:tc>
        <w:tc>
          <w:tcPr>
            <w:tcW w:w="868" w:type="pct"/>
            <w:shd w:val="clear" w:color="auto" w:fill="auto"/>
            <w:vAlign w:val="center"/>
          </w:tcPr>
          <w:p w14:paraId="2976C945" w14:textId="77777777" w:rsidR="00B31ACD" w:rsidRDefault="00B31ACD" w:rsidP="00A07932"/>
          <w:p w14:paraId="4D1420C6" w14:textId="77777777" w:rsidR="00B31ACD" w:rsidRDefault="00B31ACD" w:rsidP="00A07932">
            <w:r>
              <w:t>A written decision shall be issued to the complainant and the public education agency that is the subject of the state administrative complaint</w:t>
            </w:r>
          </w:p>
          <w:p w14:paraId="183A3B6D" w14:textId="77777777" w:rsidR="00B31ACD" w:rsidRDefault="00B31ACD" w:rsidP="00A07932"/>
        </w:tc>
        <w:tc>
          <w:tcPr>
            <w:tcW w:w="1217" w:type="pct"/>
            <w:shd w:val="clear" w:color="auto" w:fill="auto"/>
            <w:vAlign w:val="center"/>
          </w:tcPr>
          <w:p w14:paraId="0D0682DE" w14:textId="77777777" w:rsidR="00B31ACD" w:rsidRDefault="00B31ACD" w:rsidP="00A07932">
            <w:r>
              <w:t>Time complaint is filed</w:t>
            </w:r>
          </w:p>
        </w:tc>
        <w:tc>
          <w:tcPr>
            <w:tcW w:w="938" w:type="pct"/>
            <w:shd w:val="clear" w:color="auto" w:fill="auto"/>
            <w:vAlign w:val="center"/>
          </w:tcPr>
          <w:p w14:paraId="4DD72FF3" w14:textId="77777777" w:rsidR="00B31ACD" w:rsidRDefault="00B31ACD" w:rsidP="00A07932"/>
        </w:tc>
        <w:tc>
          <w:tcPr>
            <w:tcW w:w="1110" w:type="pct"/>
            <w:vAlign w:val="center"/>
          </w:tcPr>
          <w:p w14:paraId="53576B0C" w14:textId="77777777" w:rsidR="00B31ACD" w:rsidRDefault="00B471FE" w:rsidP="004F037B">
            <w:pPr>
              <w:jc w:val="center"/>
            </w:pPr>
            <w:r w:rsidRPr="00B471FE">
              <w:t>34 C.F.R. § 300.152(c)</w:t>
            </w:r>
          </w:p>
        </w:tc>
      </w:tr>
      <w:tr w:rsidR="00B31ACD" w14:paraId="580F4B00" w14:textId="77777777" w:rsidTr="001C51A2">
        <w:tc>
          <w:tcPr>
            <w:tcW w:w="867" w:type="pct"/>
            <w:shd w:val="clear" w:color="auto" w:fill="E7E6E6" w:themeFill="background2"/>
            <w:vAlign w:val="center"/>
          </w:tcPr>
          <w:p w14:paraId="6B452058" w14:textId="77777777" w:rsidR="00B31ACD" w:rsidRPr="00D40A03" w:rsidRDefault="00B31ACD" w:rsidP="00D40A03">
            <w:pPr>
              <w:rPr>
                <w:b/>
              </w:rPr>
            </w:pPr>
            <w:r w:rsidRPr="00D40A03">
              <w:rPr>
                <w:b/>
              </w:rPr>
              <w:t>1 year</w:t>
            </w:r>
          </w:p>
        </w:tc>
        <w:tc>
          <w:tcPr>
            <w:tcW w:w="868" w:type="pct"/>
            <w:shd w:val="clear" w:color="auto" w:fill="E7E6E6" w:themeFill="background2"/>
            <w:vAlign w:val="center"/>
          </w:tcPr>
          <w:p w14:paraId="55F6B51F" w14:textId="77777777" w:rsidR="00B31ACD" w:rsidRDefault="00B31ACD" w:rsidP="00A07932"/>
          <w:p w14:paraId="748F487D" w14:textId="77777777" w:rsidR="00B31ACD" w:rsidRDefault="00B31ACD" w:rsidP="00A07932">
            <w:r>
              <w:t>Complaint filed with AZ Dept of Ed</w:t>
            </w:r>
          </w:p>
          <w:p w14:paraId="37DCE8A2" w14:textId="77777777" w:rsidR="00B31ACD" w:rsidRDefault="00B31ACD" w:rsidP="00A07932"/>
        </w:tc>
        <w:tc>
          <w:tcPr>
            <w:tcW w:w="1217" w:type="pct"/>
            <w:shd w:val="clear" w:color="auto" w:fill="E7E6E6" w:themeFill="background2"/>
            <w:vAlign w:val="center"/>
          </w:tcPr>
          <w:p w14:paraId="30D56731" w14:textId="77777777" w:rsidR="00B31ACD" w:rsidRDefault="00B31ACD" w:rsidP="00A07932">
            <w:r>
              <w:t>Violation occurred</w:t>
            </w:r>
          </w:p>
        </w:tc>
        <w:tc>
          <w:tcPr>
            <w:tcW w:w="938" w:type="pct"/>
            <w:shd w:val="clear" w:color="auto" w:fill="E7E6E6" w:themeFill="background2"/>
            <w:vAlign w:val="center"/>
          </w:tcPr>
          <w:p w14:paraId="05E4A290" w14:textId="77777777" w:rsidR="00B31ACD" w:rsidRDefault="00B31ACD" w:rsidP="00A07932"/>
        </w:tc>
        <w:tc>
          <w:tcPr>
            <w:tcW w:w="1110" w:type="pct"/>
            <w:shd w:val="clear" w:color="auto" w:fill="E7E6E6" w:themeFill="background2"/>
            <w:vAlign w:val="center"/>
          </w:tcPr>
          <w:p w14:paraId="2F3D2709" w14:textId="77777777" w:rsidR="00B31ACD" w:rsidRDefault="00B53EBE" w:rsidP="004F037B">
            <w:pPr>
              <w:jc w:val="center"/>
            </w:pPr>
            <w:r>
              <w:t xml:space="preserve">A.A.C. </w:t>
            </w:r>
            <w:r w:rsidRPr="00B53EBE">
              <w:t>R7-2-405.01</w:t>
            </w:r>
            <w:r>
              <w:t>(B)</w:t>
            </w:r>
          </w:p>
        </w:tc>
      </w:tr>
      <w:tr w:rsidR="00B31ACD" w14:paraId="1E4FAD97" w14:textId="77777777" w:rsidTr="001C51A2">
        <w:tc>
          <w:tcPr>
            <w:tcW w:w="867" w:type="pct"/>
            <w:shd w:val="clear" w:color="auto" w:fill="auto"/>
            <w:vAlign w:val="center"/>
          </w:tcPr>
          <w:p w14:paraId="5DBD2AD2" w14:textId="77777777" w:rsidR="00B31ACD" w:rsidRPr="00D40A03" w:rsidRDefault="00B31ACD" w:rsidP="00D40A03">
            <w:pPr>
              <w:rPr>
                <w:b/>
              </w:rPr>
            </w:pPr>
            <w:r w:rsidRPr="00D40A03">
              <w:rPr>
                <w:b/>
              </w:rPr>
              <w:t>45 calendar days</w:t>
            </w:r>
          </w:p>
        </w:tc>
        <w:tc>
          <w:tcPr>
            <w:tcW w:w="868" w:type="pct"/>
            <w:shd w:val="clear" w:color="auto" w:fill="auto"/>
            <w:vAlign w:val="center"/>
          </w:tcPr>
          <w:p w14:paraId="3D20A2BD" w14:textId="77777777" w:rsidR="00B31ACD" w:rsidRDefault="00B31ACD" w:rsidP="00A07932"/>
          <w:p w14:paraId="28100E72" w14:textId="77777777" w:rsidR="00B31ACD" w:rsidRDefault="00B31ACD" w:rsidP="00A07932">
            <w:r>
              <w:t>Extended School Year determination made</w:t>
            </w:r>
          </w:p>
          <w:p w14:paraId="0B06E078" w14:textId="77777777" w:rsidR="00B31ACD" w:rsidRDefault="00B31ACD" w:rsidP="00A07932"/>
        </w:tc>
        <w:tc>
          <w:tcPr>
            <w:tcW w:w="1217" w:type="pct"/>
            <w:shd w:val="clear" w:color="auto" w:fill="auto"/>
            <w:vAlign w:val="center"/>
          </w:tcPr>
          <w:p w14:paraId="21DDFFC9" w14:textId="77777777" w:rsidR="00B31ACD" w:rsidRDefault="00B31ACD" w:rsidP="00A07932">
            <w:r>
              <w:t>Prior to the last day of the school year</w:t>
            </w:r>
          </w:p>
        </w:tc>
        <w:tc>
          <w:tcPr>
            <w:tcW w:w="938" w:type="pct"/>
            <w:shd w:val="clear" w:color="auto" w:fill="auto"/>
            <w:vAlign w:val="center"/>
          </w:tcPr>
          <w:p w14:paraId="5CAA9198" w14:textId="77777777" w:rsidR="00B31ACD" w:rsidRDefault="00B31ACD" w:rsidP="00A07932"/>
        </w:tc>
        <w:tc>
          <w:tcPr>
            <w:tcW w:w="1110" w:type="pct"/>
            <w:vAlign w:val="center"/>
          </w:tcPr>
          <w:p w14:paraId="16A04A50" w14:textId="77777777" w:rsidR="00B31ACD" w:rsidRDefault="00B53EBE" w:rsidP="004F037B">
            <w:pPr>
              <w:jc w:val="center"/>
            </w:pPr>
            <w:r w:rsidRPr="00B53EBE">
              <w:t>A.A.C. R7-2-408(C)</w:t>
            </w:r>
          </w:p>
        </w:tc>
      </w:tr>
      <w:tr w:rsidR="001C51A2" w:rsidRPr="001C51A2" w14:paraId="0610DC41" w14:textId="77777777" w:rsidTr="001C51A2">
        <w:tc>
          <w:tcPr>
            <w:tcW w:w="867" w:type="pct"/>
            <w:shd w:val="clear" w:color="auto" w:fill="E7E6E6" w:themeFill="background2"/>
            <w:vAlign w:val="center"/>
          </w:tcPr>
          <w:p w14:paraId="7DF3BC70" w14:textId="7398AD79" w:rsidR="001C51A2" w:rsidRPr="00D40A03" w:rsidRDefault="001C51A2" w:rsidP="00D40A03">
            <w:pPr>
              <w:rPr>
                <w:b/>
              </w:rPr>
            </w:pPr>
            <w:r>
              <w:rPr>
                <w:b/>
              </w:rPr>
              <w:t>45 calendar days</w:t>
            </w:r>
          </w:p>
        </w:tc>
        <w:tc>
          <w:tcPr>
            <w:tcW w:w="868" w:type="pct"/>
            <w:shd w:val="clear" w:color="auto" w:fill="E7E6E6" w:themeFill="background2"/>
            <w:vAlign w:val="center"/>
          </w:tcPr>
          <w:p w14:paraId="223AE351" w14:textId="77777777" w:rsidR="001C51A2" w:rsidRDefault="001C51A2" w:rsidP="00A07932"/>
          <w:p w14:paraId="04047224" w14:textId="5349DCC6" w:rsidR="001C51A2" w:rsidRDefault="001C51A2" w:rsidP="00A07932">
            <w:r>
              <w:t>Student’s educational records produced to parent or parent’s representative</w:t>
            </w:r>
          </w:p>
          <w:p w14:paraId="0A9121C8" w14:textId="7DE2E1FC" w:rsidR="001C51A2" w:rsidRDefault="001C51A2" w:rsidP="00A07932"/>
        </w:tc>
        <w:tc>
          <w:tcPr>
            <w:tcW w:w="1217" w:type="pct"/>
            <w:shd w:val="clear" w:color="auto" w:fill="E7E6E6" w:themeFill="background2"/>
            <w:vAlign w:val="center"/>
          </w:tcPr>
          <w:p w14:paraId="7CC9AA54" w14:textId="129461D0" w:rsidR="001C51A2" w:rsidRDefault="001C51A2" w:rsidP="00A07932">
            <w:r>
              <w:t>From date of request</w:t>
            </w:r>
          </w:p>
        </w:tc>
        <w:tc>
          <w:tcPr>
            <w:tcW w:w="938" w:type="pct"/>
            <w:shd w:val="clear" w:color="auto" w:fill="E7E6E6" w:themeFill="background2"/>
            <w:vAlign w:val="center"/>
          </w:tcPr>
          <w:p w14:paraId="5F984CF4" w14:textId="4CEF81C8" w:rsidR="001C51A2" w:rsidRDefault="001C51A2" w:rsidP="00A07932">
            <w:r>
              <w:t xml:space="preserve">Should be produced “without unnecessary delay” and “within a reasonable period of time,” but never to exceed 45 calendar days. Also, under IDEA must be produced before any meeting or hearing regarding an </w:t>
            </w:r>
            <w:r>
              <w:lastRenderedPageBreak/>
              <w:t>IEP, so could be a lot less than 45 calendar days if a meeting is coming up.</w:t>
            </w:r>
          </w:p>
        </w:tc>
        <w:tc>
          <w:tcPr>
            <w:tcW w:w="1110" w:type="pct"/>
            <w:shd w:val="clear" w:color="auto" w:fill="E7E6E6" w:themeFill="background2"/>
            <w:vAlign w:val="center"/>
          </w:tcPr>
          <w:p w14:paraId="1BE6D86A" w14:textId="326FB6F1" w:rsidR="001C51A2" w:rsidRPr="001C51A2" w:rsidRDefault="001C51A2" w:rsidP="004F037B">
            <w:pPr>
              <w:jc w:val="center"/>
              <w:rPr>
                <w:lang w:val="es-US"/>
              </w:rPr>
            </w:pPr>
            <w:r w:rsidRPr="001C51A2">
              <w:rPr>
                <w:lang w:val="es-US"/>
              </w:rPr>
              <w:lastRenderedPageBreak/>
              <w:t>34 C.F.R. § 300.613(a) – IDEA</w:t>
            </w:r>
          </w:p>
          <w:p w14:paraId="70CD10F8" w14:textId="12571AEC" w:rsidR="001C51A2" w:rsidRPr="001C51A2" w:rsidRDefault="001C51A2" w:rsidP="004F037B">
            <w:pPr>
              <w:jc w:val="center"/>
              <w:rPr>
                <w:lang w:val="es-US"/>
              </w:rPr>
            </w:pPr>
            <w:r w:rsidRPr="001C51A2">
              <w:rPr>
                <w:lang w:val="es-US"/>
              </w:rPr>
              <w:t>34 C.F</w:t>
            </w:r>
            <w:r>
              <w:rPr>
                <w:lang w:val="es-US"/>
              </w:rPr>
              <w:t xml:space="preserve">.R. </w:t>
            </w:r>
            <w:r w:rsidRPr="001C51A2">
              <w:rPr>
                <w:lang w:val="es-US"/>
              </w:rPr>
              <w:t xml:space="preserve">§ 99.10(b) – FERPA </w:t>
            </w:r>
          </w:p>
        </w:tc>
      </w:tr>
    </w:tbl>
    <w:p w14:paraId="71C33B1E" w14:textId="77777777" w:rsidR="00520B3F" w:rsidRPr="001C51A2" w:rsidRDefault="00520B3F" w:rsidP="00520B3F">
      <w:pPr>
        <w:rPr>
          <w:lang w:val="es-US"/>
        </w:rPr>
      </w:pPr>
    </w:p>
    <w:sectPr w:rsidR="00520B3F" w:rsidRPr="001C51A2" w:rsidSect="00F67C6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45A28"/>
    <w:multiLevelType w:val="hybridMultilevel"/>
    <w:tmpl w:val="2F68ED50"/>
    <w:lvl w:ilvl="0" w:tplc="F42E1206">
      <w:start w:val="4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DF5AD4"/>
    <w:multiLevelType w:val="hybridMultilevel"/>
    <w:tmpl w:val="8D8003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0899621">
    <w:abstractNumId w:val="1"/>
  </w:num>
  <w:num w:numId="2" w16cid:durableId="143000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3F"/>
    <w:rsid w:val="001C51A2"/>
    <w:rsid w:val="003F0DC6"/>
    <w:rsid w:val="004F037B"/>
    <w:rsid w:val="00520B3F"/>
    <w:rsid w:val="00557EA4"/>
    <w:rsid w:val="0059523B"/>
    <w:rsid w:val="005F69F2"/>
    <w:rsid w:val="006B361E"/>
    <w:rsid w:val="009D4A13"/>
    <w:rsid w:val="00A07932"/>
    <w:rsid w:val="00B07759"/>
    <w:rsid w:val="00B31ACD"/>
    <w:rsid w:val="00B471FE"/>
    <w:rsid w:val="00B53EBE"/>
    <w:rsid w:val="00B85097"/>
    <w:rsid w:val="00BF4374"/>
    <w:rsid w:val="00C63AFC"/>
    <w:rsid w:val="00D40772"/>
    <w:rsid w:val="00D40A03"/>
    <w:rsid w:val="00E378B1"/>
    <w:rsid w:val="00E659AD"/>
    <w:rsid w:val="00E85BE3"/>
    <w:rsid w:val="00F67C6B"/>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9201A4"/>
  <w15:chartTrackingRefBased/>
  <w15:docId w15:val="{760C3A99-A78E-4F8B-83BB-126CEE10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B3F"/>
    <w:pPr>
      <w:ind w:left="720"/>
      <w:contextualSpacing/>
    </w:pPr>
  </w:style>
  <w:style w:type="paragraph" w:styleId="BalloonText">
    <w:name w:val="Balloon Text"/>
    <w:basedOn w:val="Normal"/>
    <w:link w:val="BalloonTextChar"/>
    <w:uiPriority w:val="99"/>
    <w:semiHidden/>
    <w:unhideWhenUsed/>
    <w:rsid w:val="00B07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94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D7108-C793-439A-98CA-CC07AAB9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Glass</dc:creator>
  <cp:keywords/>
  <dc:description/>
  <cp:lastModifiedBy>Cate Galyon</cp:lastModifiedBy>
  <cp:revision>3</cp:revision>
  <cp:lastPrinted>2019-08-14T20:46:00Z</cp:lastPrinted>
  <dcterms:created xsi:type="dcterms:W3CDTF">2024-01-02T18:24:00Z</dcterms:created>
  <dcterms:modified xsi:type="dcterms:W3CDTF">2024-06-12T15:34:00Z</dcterms:modified>
</cp:coreProperties>
</file>